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4AD8" w:rsidRPr="00964AD8" w:rsidRDefault="00964AD8" w:rsidP="00964AD8">
      <w:pPr>
        <w:spacing w:before="100" w:beforeAutospacing="1" w:after="100" w:afterAutospacing="1"/>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Running head: QUALITY IMPROVEMENT INITIATIVE PROPOSAL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964AD8">
        <w:rPr>
          <w:rFonts w:ascii="Times New Roman" w:eastAsia="Times New Roman" w:hAnsi="Times New Roman" w:cs="Times New Roman"/>
          <w:sz w:val="20"/>
          <w:szCs w:val="20"/>
        </w:rPr>
        <w:t xml:space="preserve">1 </w:t>
      </w:r>
    </w:p>
    <w:p w:rsidR="00964AD8" w:rsidRDefault="00964AD8" w:rsidP="00964AD8">
      <w:pPr>
        <w:spacing w:before="100" w:beforeAutospacing="1" w:after="100" w:afterAutospacing="1" w:line="480" w:lineRule="auto"/>
        <w:jc w:val="center"/>
        <w:rPr>
          <w:rFonts w:ascii="Times New Roman" w:eastAsia="Times New Roman" w:hAnsi="Times New Roman" w:cs="Times New Roman"/>
          <w:sz w:val="20"/>
          <w:szCs w:val="20"/>
        </w:rPr>
      </w:pPr>
    </w:p>
    <w:p w:rsidR="00964AD8" w:rsidRDefault="00964AD8" w:rsidP="00964AD8">
      <w:pPr>
        <w:spacing w:before="100" w:beforeAutospacing="1" w:after="100" w:afterAutospacing="1" w:line="480" w:lineRule="auto"/>
        <w:jc w:val="center"/>
        <w:rPr>
          <w:rFonts w:ascii="Times New Roman" w:eastAsia="Times New Roman" w:hAnsi="Times New Roman" w:cs="Times New Roman"/>
          <w:sz w:val="20"/>
          <w:szCs w:val="20"/>
        </w:rPr>
      </w:pPr>
    </w:p>
    <w:p w:rsidR="00964AD8" w:rsidRDefault="00964AD8" w:rsidP="00964AD8">
      <w:pPr>
        <w:spacing w:before="100" w:beforeAutospacing="1" w:after="100" w:afterAutospacing="1" w:line="480" w:lineRule="auto"/>
        <w:jc w:val="center"/>
        <w:rPr>
          <w:rFonts w:ascii="Times New Roman" w:eastAsia="Times New Roman" w:hAnsi="Times New Roman" w:cs="Times New Roman"/>
          <w:sz w:val="20"/>
          <w:szCs w:val="20"/>
        </w:rPr>
      </w:pPr>
    </w:p>
    <w:p w:rsidR="00964AD8" w:rsidRDefault="00964AD8" w:rsidP="00964AD8">
      <w:pPr>
        <w:spacing w:before="100" w:beforeAutospacing="1" w:after="100" w:afterAutospacing="1" w:line="480" w:lineRule="auto"/>
        <w:jc w:val="center"/>
        <w:rPr>
          <w:rFonts w:ascii="Times New Roman" w:eastAsia="Times New Roman" w:hAnsi="Times New Roman" w:cs="Times New Roman"/>
          <w:sz w:val="20"/>
          <w:szCs w:val="20"/>
        </w:rPr>
      </w:pPr>
    </w:p>
    <w:p w:rsidR="00964AD8" w:rsidRPr="00964AD8" w:rsidRDefault="00964AD8" w:rsidP="00964AD8">
      <w:pPr>
        <w:spacing w:before="100" w:beforeAutospacing="1" w:after="100" w:afterAutospacing="1" w:line="480" w:lineRule="auto"/>
        <w:jc w:val="center"/>
        <w:rPr>
          <w:rFonts w:ascii="Times New Roman" w:eastAsia="Times New Roman" w:hAnsi="Times New Roman" w:cs="Times New Roman"/>
        </w:rPr>
      </w:pPr>
      <w:r w:rsidRPr="00964AD8">
        <w:rPr>
          <w:rFonts w:ascii="Times New Roman" w:eastAsia="Times New Roman" w:hAnsi="Times New Roman" w:cs="Times New Roman"/>
          <w:sz w:val="20"/>
          <w:szCs w:val="20"/>
        </w:rPr>
        <w:t>Data Analysis and Quality Improvement Initiative Proposal Learner’s</w:t>
      </w:r>
    </w:p>
    <w:p w:rsidR="00964AD8" w:rsidRPr="00964AD8" w:rsidRDefault="00964AD8" w:rsidP="00964AD8">
      <w:pPr>
        <w:spacing w:before="100" w:beforeAutospacing="1" w:after="100" w:afterAutospacing="1" w:line="480" w:lineRule="auto"/>
        <w:jc w:val="center"/>
        <w:rPr>
          <w:rFonts w:ascii="Times New Roman" w:eastAsia="Times New Roman" w:hAnsi="Times New Roman" w:cs="Times New Roman"/>
        </w:rPr>
      </w:pPr>
      <w:r w:rsidRPr="00964AD8">
        <w:rPr>
          <w:rFonts w:ascii="Times New Roman" w:eastAsia="Times New Roman" w:hAnsi="Times New Roman" w:cs="Times New Roman"/>
          <w:sz w:val="20"/>
          <w:szCs w:val="20"/>
        </w:rPr>
        <w:t>University</w:t>
      </w:r>
      <w:r w:rsidRPr="00964AD8">
        <w:rPr>
          <w:rFonts w:ascii="Times New Roman" w:eastAsia="Times New Roman" w:hAnsi="Times New Roman" w:cs="Times New Roman"/>
          <w:sz w:val="20"/>
          <w:szCs w:val="20"/>
        </w:rPr>
        <w:br/>
        <w:t>Quality Improvement for Interprofessional Care</w:t>
      </w:r>
      <w:r w:rsidRPr="00964AD8">
        <w:rPr>
          <w:rFonts w:ascii="Times New Roman" w:eastAsia="Times New Roman" w:hAnsi="Times New Roman" w:cs="Times New Roman"/>
          <w:sz w:val="20"/>
          <w:szCs w:val="20"/>
        </w:rPr>
        <w:br/>
        <w:t>Data Analysis and Quality Improvement Initiative Proposal</w:t>
      </w:r>
    </w:p>
    <w:p w:rsidR="00964AD8" w:rsidRDefault="00964AD8" w:rsidP="00964AD8">
      <w:pPr>
        <w:spacing w:before="100" w:beforeAutospacing="1" w:after="100" w:afterAutospacing="1" w:line="480" w:lineRule="auto"/>
        <w:jc w:val="center"/>
        <w:rPr>
          <w:rFonts w:ascii="TimesNewRomanPSMT" w:eastAsia="Times New Roman" w:hAnsi="TimesNewRomanPSMT" w:cs="Times New Roman"/>
          <w:sz w:val="20"/>
          <w:szCs w:val="20"/>
        </w:rPr>
      </w:pPr>
      <w:r w:rsidRPr="00964AD8">
        <w:rPr>
          <w:rFonts w:ascii="TimesNewRomanPSMT" w:eastAsia="Times New Roman" w:hAnsi="TimesNewRomanPSMT" w:cs="Times New Roman"/>
          <w:sz w:val="20"/>
          <w:szCs w:val="20"/>
        </w:rPr>
        <w:t>Month</w:t>
      </w:r>
      <w:r w:rsidRPr="00964AD8">
        <w:rPr>
          <w:rFonts w:ascii="Times New Roman" w:eastAsia="Times New Roman" w:hAnsi="Times New Roman" w:cs="Times New Roman"/>
          <w:sz w:val="20"/>
          <w:szCs w:val="20"/>
        </w:rPr>
        <w:t xml:space="preserve">, </w:t>
      </w:r>
      <w:r w:rsidRPr="00964AD8">
        <w:rPr>
          <w:rFonts w:ascii="TimesNewRomanPSMT" w:eastAsia="Times New Roman" w:hAnsi="TimesNewRomanPSMT" w:cs="Times New Roman"/>
          <w:sz w:val="20"/>
          <w:szCs w:val="20"/>
        </w:rPr>
        <w:t>Year</w:t>
      </w:r>
    </w:p>
    <w:p w:rsidR="00964AD8" w:rsidRDefault="00964AD8" w:rsidP="00964AD8">
      <w:pPr>
        <w:spacing w:before="100" w:beforeAutospacing="1" w:after="100" w:afterAutospacing="1" w:line="480" w:lineRule="auto"/>
        <w:jc w:val="center"/>
        <w:rPr>
          <w:rFonts w:ascii="Times New Roman" w:eastAsia="Times New Roman" w:hAnsi="Times New Roman" w:cs="Times New Roman"/>
        </w:rPr>
      </w:pPr>
    </w:p>
    <w:p w:rsidR="00964AD8" w:rsidRDefault="00964AD8" w:rsidP="00964AD8">
      <w:pPr>
        <w:spacing w:before="100" w:beforeAutospacing="1" w:after="100" w:afterAutospacing="1" w:line="480" w:lineRule="auto"/>
        <w:jc w:val="center"/>
        <w:rPr>
          <w:rFonts w:ascii="Times New Roman" w:eastAsia="Times New Roman" w:hAnsi="Times New Roman" w:cs="Times New Roman"/>
        </w:rPr>
      </w:pPr>
    </w:p>
    <w:p w:rsidR="00964AD8" w:rsidRDefault="00964AD8" w:rsidP="00964AD8">
      <w:pPr>
        <w:spacing w:before="100" w:beforeAutospacing="1" w:after="100" w:afterAutospacing="1" w:line="480" w:lineRule="auto"/>
        <w:jc w:val="center"/>
        <w:rPr>
          <w:rFonts w:ascii="Times New Roman" w:eastAsia="Times New Roman" w:hAnsi="Times New Roman" w:cs="Times New Roman"/>
        </w:rPr>
      </w:pPr>
    </w:p>
    <w:p w:rsidR="00964AD8" w:rsidRDefault="00964AD8" w:rsidP="00964AD8">
      <w:pPr>
        <w:spacing w:before="100" w:beforeAutospacing="1" w:after="100" w:afterAutospacing="1" w:line="480" w:lineRule="auto"/>
        <w:jc w:val="center"/>
        <w:rPr>
          <w:rFonts w:ascii="Times New Roman" w:eastAsia="Times New Roman" w:hAnsi="Times New Roman" w:cs="Times New Roman"/>
        </w:rPr>
      </w:pPr>
    </w:p>
    <w:p w:rsidR="00964AD8" w:rsidRDefault="00964AD8" w:rsidP="00964AD8">
      <w:pPr>
        <w:spacing w:before="100" w:beforeAutospacing="1" w:after="100" w:afterAutospacing="1" w:line="480" w:lineRule="auto"/>
        <w:jc w:val="center"/>
        <w:rPr>
          <w:rFonts w:ascii="Times New Roman" w:eastAsia="Times New Roman" w:hAnsi="Times New Roman" w:cs="Times New Roman"/>
        </w:rPr>
      </w:pPr>
    </w:p>
    <w:p w:rsidR="00964AD8" w:rsidRDefault="00964AD8" w:rsidP="00964AD8">
      <w:pPr>
        <w:spacing w:before="100" w:beforeAutospacing="1" w:after="100" w:afterAutospacing="1" w:line="480" w:lineRule="auto"/>
        <w:jc w:val="center"/>
        <w:rPr>
          <w:rFonts w:ascii="Times New Roman" w:eastAsia="Times New Roman" w:hAnsi="Times New Roman" w:cs="Times New Roman"/>
        </w:rPr>
      </w:pPr>
    </w:p>
    <w:p w:rsidR="00964AD8" w:rsidRDefault="00964AD8" w:rsidP="00964AD8">
      <w:pPr>
        <w:spacing w:before="100" w:beforeAutospacing="1" w:after="100" w:afterAutospacing="1" w:line="480" w:lineRule="auto"/>
        <w:jc w:val="center"/>
        <w:rPr>
          <w:rFonts w:ascii="Times New Roman" w:eastAsia="Times New Roman" w:hAnsi="Times New Roman" w:cs="Times New Roman"/>
        </w:rPr>
      </w:pPr>
    </w:p>
    <w:p w:rsidR="00964AD8" w:rsidRPr="00964AD8" w:rsidRDefault="00964AD8" w:rsidP="00964AD8">
      <w:pPr>
        <w:spacing w:before="100" w:beforeAutospacing="1" w:after="100" w:afterAutospacing="1" w:line="480" w:lineRule="auto"/>
        <w:jc w:val="center"/>
        <w:rPr>
          <w:rFonts w:ascii="Times New Roman" w:eastAsia="Times New Roman" w:hAnsi="Times New Roman" w:cs="Times New Roman"/>
        </w:rPr>
      </w:pP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r w:rsidRPr="00964AD8">
        <w:rPr>
          <w:rFonts w:ascii="Times New Roman" w:eastAsia="Times New Roman" w:hAnsi="Times New Roman" w:cs="Times New Roman"/>
          <w:sz w:val="20"/>
          <w:szCs w:val="20"/>
        </w:rPr>
        <w:t xml:space="preserve">QUALITY IMPROVEMENT INITIATIVE PROPOSAL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Pr="00964AD8">
        <w:rPr>
          <w:rFonts w:ascii="Times New Roman" w:eastAsia="Times New Roman" w:hAnsi="Times New Roman" w:cs="Times New Roman"/>
          <w:sz w:val="20"/>
          <w:szCs w:val="20"/>
        </w:rPr>
        <w:t xml:space="preserve">2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Data Analysis and Quality Improvement Initiative Proposal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Bold" w:eastAsia="Times New Roman" w:hAnsi="Times New Roman,Bold" w:cs="Times New Roman"/>
          <w:sz w:val="20"/>
          <w:szCs w:val="20"/>
        </w:rPr>
        <w:t xml:space="preserve">I. Introduction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Health care professionals are constantly striving to improve the quality of care and safety provided to their patients. The culture of care quality and patient safety depends on a strong and supportive work environment that promotes leadership, evidence-based practice, effective communication, and </w:t>
      </w:r>
      <w:proofErr w:type="spellStart"/>
      <w:r w:rsidRPr="00964AD8">
        <w:rPr>
          <w:rFonts w:ascii="Times New Roman" w:eastAsia="Times New Roman" w:hAnsi="Times New Roman" w:cs="Times New Roman"/>
          <w:sz w:val="20"/>
          <w:szCs w:val="20"/>
        </w:rPr>
        <w:t>interprofessionalism</w:t>
      </w:r>
      <w:proofErr w:type="spellEnd"/>
      <w:r w:rsidRPr="00964AD8">
        <w:rPr>
          <w:rFonts w:ascii="Times New Roman" w:eastAsia="Times New Roman" w:hAnsi="Times New Roman" w:cs="Times New Roman"/>
          <w:sz w:val="20"/>
          <w:szCs w:val="20"/>
        </w:rPr>
        <w:t xml:space="preserve">. Nurse leaders play a crucial role in establishing this culture and directly influence quality outcomes across an organization.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Bold" w:eastAsia="Times New Roman" w:hAnsi="Times New Roman,Bold" w:cs="Times New Roman"/>
          <w:sz w:val="20"/>
          <w:szCs w:val="20"/>
        </w:rPr>
        <w:t xml:space="preserve">II. Problems and Needs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The role of nurse leaders in maintaining the quality in the nursing and clinical departments is discussed using the example of </w:t>
      </w:r>
      <w:proofErr w:type="spellStart"/>
      <w:r w:rsidRPr="00964AD8">
        <w:rPr>
          <w:rFonts w:ascii="Times New Roman" w:eastAsia="Times New Roman" w:hAnsi="Times New Roman" w:cs="Times New Roman"/>
          <w:sz w:val="20"/>
          <w:szCs w:val="20"/>
        </w:rPr>
        <w:t>TrueWill</w:t>
      </w:r>
      <w:proofErr w:type="spellEnd"/>
      <w:r w:rsidRPr="00964AD8">
        <w:rPr>
          <w:rFonts w:ascii="Times New Roman" w:eastAsia="Times New Roman" w:hAnsi="Times New Roman" w:cs="Times New Roman"/>
          <w:sz w:val="20"/>
          <w:szCs w:val="20"/>
        </w:rPr>
        <w:t xml:space="preserve"> General Hospital (TGH), a multispecialty hospital in the United States. </w:t>
      </w:r>
      <w:r w:rsidRPr="00964AD8">
        <w:rPr>
          <w:rFonts w:ascii="TimesNewRomanPSMT" w:eastAsia="Times New Roman" w:hAnsi="TimesNewRomanPSMT" w:cs="Times New Roman"/>
          <w:sz w:val="20"/>
          <w:szCs w:val="20"/>
        </w:rPr>
        <w:t xml:space="preserve">As part of an annual assessment of organizational quality, </w:t>
      </w:r>
      <w:r w:rsidRPr="00964AD8">
        <w:rPr>
          <w:rFonts w:ascii="Times New Roman" w:eastAsia="Times New Roman" w:hAnsi="Times New Roman" w:cs="Times New Roman"/>
          <w:sz w:val="20"/>
          <w:szCs w:val="20"/>
        </w:rPr>
        <w:t>the hospital’s quality management office completed its analysis of dashboard metrics for the surgical units for the year 201</w:t>
      </w:r>
      <w:r w:rsidRPr="00964AD8">
        <w:rPr>
          <w:rFonts w:ascii="TimesNewRomanPSMT" w:eastAsia="Times New Roman" w:hAnsi="TimesNewRomanPSMT" w:cs="Times New Roman"/>
          <w:sz w:val="20"/>
          <w:szCs w:val="20"/>
        </w:rPr>
        <w:t>6</w:t>
      </w:r>
      <w:r w:rsidRPr="00964AD8">
        <w:rPr>
          <w:rFonts w:ascii="Times New Roman" w:eastAsia="Times New Roman" w:hAnsi="Times New Roman" w:cs="Times New Roman"/>
          <w:sz w:val="20"/>
          <w:szCs w:val="20"/>
        </w:rPr>
        <w:t>–201</w:t>
      </w:r>
      <w:r w:rsidRPr="00964AD8">
        <w:rPr>
          <w:rFonts w:ascii="TimesNewRomanPSMT" w:eastAsia="Times New Roman" w:hAnsi="TimesNewRomanPSMT" w:cs="Times New Roman"/>
          <w:sz w:val="20"/>
          <w:szCs w:val="20"/>
        </w:rPr>
        <w:t>7</w:t>
      </w:r>
      <w:r w:rsidRPr="00964AD8">
        <w:rPr>
          <w:rFonts w:ascii="Times New Roman" w:eastAsia="Times New Roman" w:hAnsi="Times New Roman" w:cs="Times New Roman"/>
          <w:sz w:val="20"/>
          <w:szCs w:val="20"/>
        </w:rPr>
        <w:t>. The office released the data in its Quality and Safety Report 201</w:t>
      </w:r>
      <w:r w:rsidRPr="00964AD8">
        <w:rPr>
          <w:rFonts w:ascii="TimesNewRomanPSMT" w:eastAsia="Times New Roman" w:hAnsi="TimesNewRomanPSMT" w:cs="Times New Roman"/>
          <w:sz w:val="20"/>
          <w:szCs w:val="20"/>
        </w:rPr>
        <w:t>6</w:t>
      </w:r>
      <w:r w:rsidRPr="00964AD8">
        <w:rPr>
          <w:rFonts w:ascii="Times New Roman" w:eastAsia="Times New Roman" w:hAnsi="Times New Roman" w:cs="Times New Roman"/>
          <w:sz w:val="20"/>
          <w:szCs w:val="20"/>
        </w:rPr>
        <w:t>–201</w:t>
      </w:r>
      <w:r w:rsidRPr="00964AD8">
        <w:rPr>
          <w:rFonts w:ascii="TimesNewRomanPSMT" w:eastAsia="Times New Roman" w:hAnsi="TimesNewRomanPSMT" w:cs="Times New Roman"/>
          <w:sz w:val="20"/>
          <w:szCs w:val="20"/>
        </w:rPr>
        <w:t>7</w:t>
      </w:r>
      <w:r w:rsidRPr="00964AD8">
        <w:rPr>
          <w:rFonts w:ascii="Times New Roman" w:eastAsia="Times New Roman" w:hAnsi="Times New Roman" w:cs="Times New Roman"/>
          <w:sz w:val="20"/>
          <w:szCs w:val="20"/>
        </w:rPr>
        <w:t xml:space="preserve">. The surgical units’ data included adverse events and near misses and used four quality indicators: length of stay (LOS) exceeding 7 days, patient readmission rates, pain level between 7 and 10 for more than 24 hours, and patients with pressure ulcers.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Bold" w:eastAsia="Times New Roman" w:hAnsi="Times New Roman,Bold" w:cs="Times New Roman"/>
          <w:sz w:val="20"/>
          <w:szCs w:val="20"/>
        </w:rPr>
        <w:t xml:space="preserve">III. Proposed Solution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The results of the analysis showed that three quality indicators—pain levels, readmission rates, and pressure ulcers—performed below the hospital’s benchmarks (see Table 1 and Appendix for data and descriptions of indicators and benchmarks). The connection between these indicators and the services of the surgical units’ nurses will be discussed in this proposal for a quality improvement initiative. The proposal will analyze the relational patterns between the</w:t>
      </w: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lastRenderedPageBreak/>
        <w:t xml:space="preserve">QUALITY IMPROVEMENT INITIATIVE PROPOSAL 3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indicators and the data, identify assumptions governing health care quality and nursing characteristics, determine methods to discover the root causes of quality issues, and recommend a framework as well as strategies to improve quality outcomes in the surgical units.</w:t>
      </w:r>
      <w:r w:rsidRPr="00964AD8">
        <w:rPr>
          <w:rFonts w:ascii="Times New Roman" w:eastAsia="Times New Roman" w:hAnsi="Times New Roman" w:cs="Times New Roman"/>
          <w:sz w:val="20"/>
          <w:szCs w:val="20"/>
        </w:rPr>
        <w:br/>
      </w:r>
      <w:r w:rsidRPr="00964AD8">
        <w:rPr>
          <w:rFonts w:ascii="Times New Roman,Bold" w:eastAsia="Times New Roman" w:hAnsi="Times New Roman,Bold" w:cs="Times New Roman"/>
          <w:sz w:val="20"/>
          <w:szCs w:val="20"/>
        </w:rPr>
        <w:t xml:space="preserve">Analysis of Dashboard Metrics to Identify Quality Issues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The patients who require round-the-clock perioperative care are admitted to TGH’s surgical units, which are equipped for general, orthopedic, urolog</w:t>
      </w:r>
      <w:r w:rsidRPr="00964AD8">
        <w:rPr>
          <w:rFonts w:ascii="TimesNewRomanPSMT" w:eastAsia="Times New Roman" w:hAnsi="TimesNewRomanPSMT" w:cs="Times New Roman"/>
          <w:sz w:val="20"/>
          <w:szCs w:val="20"/>
        </w:rPr>
        <w:t>ic</w:t>
      </w:r>
      <w:r w:rsidRPr="00964AD8">
        <w:rPr>
          <w:rFonts w:ascii="Times New Roman" w:eastAsia="Times New Roman" w:hAnsi="Times New Roman" w:cs="Times New Roman"/>
          <w:sz w:val="20"/>
          <w:szCs w:val="20"/>
        </w:rPr>
        <w:t xml:space="preserve">, </w:t>
      </w:r>
      <w:r w:rsidRPr="00964AD8">
        <w:rPr>
          <w:rFonts w:ascii="TimesNewRomanPSMT" w:eastAsia="Times New Roman" w:hAnsi="TimesNewRomanPSMT" w:cs="Times New Roman"/>
          <w:sz w:val="20"/>
          <w:szCs w:val="20"/>
        </w:rPr>
        <w:t xml:space="preserve">and </w:t>
      </w:r>
      <w:r w:rsidRPr="00964AD8">
        <w:rPr>
          <w:rFonts w:ascii="Times New Roman" w:eastAsia="Times New Roman" w:hAnsi="Times New Roman" w:cs="Times New Roman"/>
          <w:sz w:val="20"/>
          <w:szCs w:val="20"/>
        </w:rPr>
        <w:t>ambulatory surgery. The critical nature of patients admitted to these units makes quality and safety the units' highest goals. Quality and safety outcomes are regularly evaluated. The units are staffed by teams of interdisciplinary professionals</w:t>
      </w:r>
      <w:r w:rsidRPr="00964AD8">
        <w:rPr>
          <w:rFonts w:ascii="TimesNewRomanPSMT" w:eastAsia="Times New Roman" w:hAnsi="TimesNewRomanPSMT" w:cs="Times New Roman"/>
          <w:sz w:val="20"/>
          <w:szCs w:val="20"/>
        </w:rPr>
        <w:t xml:space="preserve">: </w:t>
      </w:r>
      <w:r w:rsidRPr="00964AD8">
        <w:rPr>
          <w:rFonts w:ascii="Times New Roman" w:eastAsia="Times New Roman" w:hAnsi="Times New Roman" w:cs="Times New Roman"/>
          <w:sz w:val="20"/>
          <w:szCs w:val="20"/>
        </w:rPr>
        <w:t xml:space="preserve">physicians, nurses, therapists, dieticians, pharmacists, and ancillary medical staff.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Table 1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Italic" w:eastAsia="Times New Roman" w:hAnsi="Times New Roman,Italic" w:cs="Times New Roman"/>
          <w:sz w:val="20"/>
          <w:szCs w:val="20"/>
        </w:rPr>
        <w:t>Quality and Safety Report 201</w:t>
      </w:r>
      <w:r w:rsidRPr="00964AD8">
        <w:rPr>
          <w:rFonts w:ascii="TimesNewRomanPS" w:eastAsia="Times New Roman" w:hAnsi="TimesNewRomanPS" w:cs="Times New Roman"/>
          <w:i/>
          <w:iCs/>
          <w:sz w:val="20"/>
          <w:szCs w:val="20"/>
        </w:rPr>
        <w:t>6</w:t>
      </w:r>
      <w:r w:rsidRPr="00964AD8">
        <w:rPr>
          <w:rFonts w:ascii="Times New Roman,Italic" w:eastAsia="Times New Roman" w:hAnsi="Times New Roman,Italic" w:cs="Times New Roman"/>
          <w:sz w:val="20"/>
          <w:szCs w:val="20"/>
        </w:rPr>
        <w:t>–201</w:t>
      </w:r>
      <w:r w:rsidRPr="00964AD8">
        <w:rPr>
          <w:rFonts w:ascii="TimesNewRomanPS" w:eastAsia="Times New Roman" w:hAnsi="TimesNewRomanPS" w:cs="Times New Roman"/>
          <w:i/>
          <w:iCs/>
          <w:sz w:val="20"/>
          <w:szCs w:val="20"/>
        </w:rPr>
        <w:t>7</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The data available from the Quality and Safety Report in Table 1 revealed that the annual patient readmission rates increased from 29 incidents in 201</w:t>
      </w:r>
      <w:r w:rsidRPr="00964AD8">
        <w:rPr>
          <w:rFonts w:ascii="TimesNewRomanPSMT" w:eastAsia="Times New Roman" w:hAnsi="TimesNewRomanPSMT" w:cs="Times New Roman"/>
          <w:sz w:val="20"/>
          <w:szCs w:val="20"/>
        </w:rPr>
        <w:t xml:space="preserve">6 </w:t>
      </w:r>
      <w:r w:rsidRPr="00964AD8">
        <w:rPr>
          <w:rFonts w:ascii="Times New Roman" w:eastAsia="Times New Roman" w:hAnsi="Times New Roman" w:cs="Times New Roman"/>
          <w:sz w:val="20"/>
          <w:szCs w:val="20"/>
        </w:rPr>
        <w:t>to 43 in 201</w:t>
      </w:r>
      <w:r w:rsidRPr="00964AD8">
        <w:rPr>
          <w:rFonts w:ascii="TimesNewRomanPSMT" w:eastAsia="Times New Roman" w:hAnsi="TimesNewRomanPSMT" w:cs="Times New Roman"/>
          <w:sz w:val="20"/>
          <w:szCs w:val="20"/>
        </w:rPr>
        <w:t>7</w:t>
      </w:r>
      <w:r w:rsidRPr="00964AD8">
        <w:rPr>
          <w:rFonts w:ascii="Times New Roman" w:eastAsia="Times New Roman" w:hAnsi="Times New Roman" w:cs="Times New Roman"/>
          <w:sz w:val="20"/>
          <w:szCs w:val="20"/>
        </w:rPr>
        <w:t>. Similarly, the number of patients who experienced pain for more than 24 hours without relief doubled from 15 in 201</w:t>
      </w:r>
      <w:r w:rsidRPr="00964AD8">
        <w:rPr>
          <w:rFonts w:ascii="TimesNewRomanPSMT" w:eastAsia="Times New Roman" w:hAnsi="TimesNewRomanPSMT" w:cs="Times New Roman"/>
          <w:sz w:val="20"/>
          <w:szCs w:val="20"/>
        </w:rPr>
        <w:t xml:space="preserve">6 </w:t>
      </w:r>
      <w:r w:rsidRPr="00964AD8">
        <w:rPr>
          <w:rFonts w:ascii="Times New Roman" w:eastAsia="Times New Roman" w:hAnsi="Times New Roman" w:cs="Times New Roman"/>
          <w:sz w:val="20"/>
          <w:szCs w:val="20"/>
        </w:rPr>
        <w:t>to 30 in 201</w:t>
      </w:r>
      <w:r w:rsidRPr="00964AD8">
        <w:rPr>
          <w:rFonts w:ascii="TimesNewRomanPSMT" w:eastAsia="Times New Roman" w:hAnsi="TimesNewRomanPSMT" w:cs="Times New Roman"/>
          <w:sz w:val="20"/>
          <w:szCs w:val="20"/>
        </w:rPr>
        <w:t>7</w:t>
      </w:r>
      <w:r w:rsidRPr="00964AD8">
        <w:rPr>
          <w:rFonts w:ascii="Times New Roman" w:eastAsia="Times New Roman" w:hAnsi="Times New Roman" w:cs="Times New Roman"/>
          <w:sz w:val="20"/>
          <w:szCs w:val="20"/>
        </w:rPr>
        <w:t>. Pressure ulcers, a common quality and safety issue in surgical patients, also increased to 25 from 14 in 201</w:t>
      </w:r>
      <w:r w:rsidRPr="00964AD8">
        <w:rPr>
          <w:rFonts w:ascii="TimesNewRomanPSMT" w:eastAsia="Times New Roman" w:hAnsi="TimesNewRomanPSMT" w:cs="Times New Roman"/>
          <w:sz w:val="20"/>
          <w:szCs w:val="20"/>
        </w:rPr>
        <w:t>6</w:t>
      </w:r>
      <w:r w:rsidRPr="00964AD8">
        <w:rPr>
          <w:rFonts w:ascii="Times New Roman" w:eastAsia="Times New Roman" w:hAnsi="Times New Roman" w:cs="Times New Roman"/>
          <w:sz w:val="20"/>
          <w:szCs w:val="20"/>
        </w:rPr>
        <w:t>. Conversely, the units reported a drop in the number of patients whose LOS exceeded 7 days—from 43 in 201</w:t>
      </w:r>
      <w:r w:rsidRPr="00964AD8">
        <w:rPr>
          <w:rFonts w:ascii="TimesNewRomanPSMT" w:eastAsia="Times New Roman" w:hAnsi="TimesNewRomanPSMT" w:cs="Times New Roman"/>
          <w:sz w:val="20"/>
          <w:szCs w:val="20"/>
        </w:rPr>
        <w:t xml:space="preserve">6 </w:t>
      </w:r>
      <w:r w:rsidRPr="00964AD8">
        <w:rPr>
          <w:rFonts w:ascii="Times New Roman" w:eastAsia="Times New Roman" w:hAnsi="Times New Roman" w:cs="Times New Roman"/>
          <w:sz w:val="20"/>
          <w:szCs w:val="20"/>
        </w:rPr>
        <w:t>to 31 in 201</w:t>
      </w:r>
      <w:r w:rsidRPr="00964AD8">
        <w:rPr>
          <w:rFonts w:ascii="TimesNewRomanPSMT" w:eastAsia="Times New Roman" w:hAnsi="TimesNewRomanPSMT" w:cs="Times New Roman"/>
          <w:sz w:val="20"/>
          <w:szCs w:val="20"/>
        </w:rPr>
        <w:t>7</w:t>
      </w:r>
      <w:r w:rsidRPr="00964AD8">
        <w:rPr>
          <w:rFonts w:ascii="Times New Roman" w:eastAsia="Times New Roman" w:hAnsi="Times New Roman" w:cs="Times New Roman"/>
          <w:sz w:val="20"/>
          <w:szCs w:val="20"/>
        </w:rPr>
        <w:t xml:space="preserve">.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The outcomes are a cause for concern because they can affect the hospital’s stakeholders—the patients, health care professionals, and the organization—in various ways. Patient readmissions are a costly outcome for TGH because the Patient Protection and Affordable Care Act, through its Hospitals Readmissions Reductions Program, financially penalizes hospitals with higher than expected readmissions (</w:t>
      </w:r>
      <w:proofErr w:type="spellStart"/>
      <w:r w:rsidRPr="00964AD8">
        <w:rPr>
          <w:rFonts w:ascii="Times New Roman" w:eastAsia="Times New Roman" w:hAnsi="Times New Roman" w:cs="Times New Roman"/>
          <w:sz w:val="20"/>
          <w:szCs w:val="20"/>
        </w:rPr>
        <w:t>Bartel</w:t>
      </w:r>
      <w:proofErr w:type="spellEnd"/>
      <w:r w:rsidRPr="00964AD8">
        <w:rPr>
          <w:rFonts w:ascii="Times New Roman" w:eastAsia="Times New Roman" w:hAnsi="Times New Roman" w:cs="Times New Roman"/>
          <w:sz w:val="20"/>
          <w:szCs w:val="20"/>
        </w:rPr>
        <w:t xml:space="preserve">, Chan, &amp; Kim, 2014). Hefty penalties are enforced because readmissions are thought to be the result of poor follow-up care (Abelson, 2013).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Furthermore, studies have found an association between LOS and the risk of readmissions. </w:t>
      </w:r>
      <w:proofErr w:type="spellStart"/>
      <w:r w:rsidRPr="00964AD8">
        <w:rPr>
          <w:rFonts w:ascii="Times New Roman" w:eastAsia="Times New Roman" w:hAnsi="Times New Roman" w:cs="Times New Roman"/>
          <w:sz w:val="20"/>
          <w:szCs w:val="20"/>
        </w:rPr>
        <w:t>Bartel</w:t>
      </w:r>
      <w:proofErr w:type="spellEnd"/>
      <w:r w:rsidRPr="00964AD8">
        <w:rPr>
          <w:rFonts w:ascii="Times New Roman" w:eastAsia="Times New Roman" w:hAnsi="Times New Roman" w:cs="Times New Roman"/>
          <w:sz w:val="20"/>
          <w:szCs w:val="20"/>
        </w:rPr>
        <w:t xml:space="preserve"> et al. (2014) reviewed prior literature on the impact of decreasing patient LOS and increasing readmission rates and conclu</w:t>
      </w:r>
      <w:r w:rsidRPr="00964AD8">
        <w:rPr>
          <w:rFonts w:ascii="TimesNewRomanPSMT" w:eastAsia="Times New Roman" w:hAnsi="TimesNewRomanPSMT" w:cs="Times New Roman"/>
          <w:sz w:val="20"/>
          <w:szCs w:val="20"/>
        </w:rPr>
        <w:t xml:space="preserve">ded </w:t>
      </w:r>
      <w:r w:rsidRPr="00964AD8">
        <w:rPr>
          <w:rFonts w:ascii="Times New Roman" w:eastAsia="Times New Roman" w:hAnsi="Times New Roman" w:cs="Times New Roman"/>
          <w:sz w:val="20"/>
          <w:szCs w:val="20"/>
        </w:rPr>
        <w:lastRenderedPageBreak/>
        <w:t xml:space="preserve">that a patient who stays for an additional day may reach a higher level of stability. At TGH, health care professionals may have faced immense pressure to reduce patient LOS to control per capita health costs. The pressure could have forced the units’ nurses and doctors to rush through patient care plans and hasten the process of educating patients regarding post-discharge behavior. Furthermore, patients who are readmitted may lose trust in the ability of their health care providers to provide complete and quality care.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Just as readmissions are a quality issue that affects all stakeholders, high pain levels and pressure ulcers affect the surgical units’ nurses and patients. This inference is based on the theory of nurse-sensitive patient outcomes, which explains that pain and pressure ulcers are patient outcomes that depend on the quantity and quality of nursing (</w:t>
      </w:r>
      <w:proofErr w:type="spellStart"/>
      <w:r w:rsidRPr="00964AD8">
        <w:rPr>
          <w:rFonts w:ascii="Times New Roman" w:eastAsia="Times New Roman" w:hAnsi="Times New Roman" w:cs="Times New Roman"/>
          <w:sz w:val="20"/>
          <w:szCs w:val="20"/>
        </w:rPr>
        <w:t>Stalpers</w:t>
      </w:r>
      <w:proofErr w:type="spellEnd"/>
      <w:r w:rsidRPr="00964AD8">
        <w:rPr>
          <w:rFonts w:ascii="Times New Roman" w:eastAsia="Times New Roman" w:hAnsi="Times New Roman" w:cs="Times New Roman"/>
          <w:sz w:val="20"/>
          <w:szCs w:val="20"/>
        </w:rPr>
        <w:t xml:space="preserve">, de Brouwer, </w:t>
      </w:r>
      <w:proofErr w:type="spellStart"/>
      <w:r w:rsidRPr="00964AD8">
        <w:rPr>
          <w:rFonts w:ascii="Times New Roman" w:eastAsia="Times New Roman" w:hAnsi="Times New Roman" w:cs="Times New Roman"/>
          <w:sz w:val="20"/>
          <w:szCs w:val="20"/>
        </w:rPr>
        <w:t>Kaljouw</w:t>
      </w:r>
      <w:proofErr w:type="spellEnd"/>
      <w:r w:rsidRPr="00964AD8">
        <w:rPr>
          <w:rFonts w:ascii="Times New Roman" w:eastAsia="Times New Roman" w:hAnsi="Times New Roman" w:cs="Times New Roman"/>
          <w:sz w:val="20"/>
          <w:szCs w:val="20"/>
        </w:rPr>
        <w:t xml:space="preserve">, &amp; </w:t>
      </w:r>
      <w:proofErr w:type="spellStart"/>
      <w:r w:rsidRPr="00964AD8">
        <w:rPr>
          <w:rFonts w:ascii="Times New Roman" w:eastAsia="Times New Roman" w:hAnsi="Times New Roman" w:cs="Times New Roman"/>
          <w:sz w:val="20"/>
          <w:szCs w:val="20"/>
        </w:rPr>
        <w:t>Schuurmans</w:t>
      </w:r>
      <w:proofErr w:type="spellEnd"/>
      <w:r w:rsidRPr="00964AD8">
        <w:rPr>
          <w:rFonts w:ascii="Times New Roman" w:eastAsia="Times New Roman" w:hAnsi="Times New Roman" w:cs="Times New Roman"/>
          <w:sz w:val="20"/>
          <w:szCs w:val="20"/>
        </w:rPr>
        <w:t>, 2015). Based on this inference, it can be assumed that there could be issues in the performance and quality of nursing in TGH’s surgical units. Moreover, there is evidence linking pressure ulcers and postoperative pain to a higher risk of readmissions (</w:t>
      </w:r>
      <w:proofErr w:type="spellStart"/>
      <w:r w:rsidRPr="00964AD8">
        <w:rPr>
          <w:rFonts w:ascii="Times New Roman" w:eastAsia="Times New Roman" w:hAnsi="Times New Roman" w:cs="Times New Roman"/>
          <w:sz w:val="20"/>
          <w:szCs w:val="20"/>
        </w:rPr>
        <w:t>Kirkner</w:t>
      </w:r>
      <w:proofErr w:type="spellEnd"/>
      <w:r w:rsidRPr="00964AD8">
        <w:rPr>
          <w:rFonts w:ascii="Times New Roman" w:eastAsia="Times New Roman" w:hAnsi="Times New Roman" w:cs="Times New Roman"/>
          <w:sz w:val="20"/>
          <w:szCs w:val="20"/>
        </w:rPr>
        <w:t xml:space="preserve">, 2017; ). While TGH’s data do not directly link pressure ulcers and pain to readmission rates, it is possible to theorize that reducing pressure ulcers and pain in patients will also reduce readmissions. Therefore, the surgical units’ nurses can help prevent readmissions by preventing ulcers and managing pain in patients more efficiently.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The standard of nursing quality is an important predictor of favorable quality outcomes. Based on the analysis of the data in the report, TGH’s nurse leaders met with the units’ nurses to </w:t>
      </w:r>
      <w:r w:rsidRPr="00964AD8">
        <w:rPr>
          <w:rFonts w:ascii="TimesNewRomanPSMT" w:eastAsia="Times New Roman" w:hAnsi="TimesNewRomanPSMT" w:cs="Times New Roman"/>
          <w:sz w:val="20"/>
          <w:szCs w:val="20"/>
        </w:rPr>
        <w:t xml:space="preserve">examine </w:t>
      </w:r>
      <w:r w:rsidRPr="00964AD8">
        <w:rPr>
          <w:rFonts w:ascii="Times New Roman" w:eastAsia="Times New Roman" w:hAnsi="Times New Roman" w:cs="Times New Roman"/>
          <w:sz w:val="20"/>
          <w:szCs w:val="20"/>
        </w:rPr>
        <w:t xml:space="preserve">the nursing factors that contributed to the unfavorable outcomes. The nurse leaders identified the problem to be the transactional leadership style practiced by the perioperative charge nurses. </w:t>
      </w:r>
      <w:r w:rsidRPr="00964AD8">
        <w:rPr>
          <w:rFonts w:ascii="TimesNewRomanPS" w:eastAsia="Times New Roman" w:hAnsi="TimesNewRomanPS" w:cs="Times New Roman"/>
          <w:i/>
          <w:iCs/>
          <w:sz w:val="20"/>
          <w:szCs w:val="20"/>
        </w:rPr>
        <w:t xml:space="preserve">Transactional leadership </w:t>
      </w:r>
      <w:r w:rsidRPr="00964AD8">
        <w:rPr>
          <w:rFonts w:ascii="Times New Roman" w:eastAsia="Times New Roman" w:hAnsi="Times New Roman" w:cs="Times New Roman"/>
          <w:sz w:val="20"/>
          <w:szCs w:val="20"/>
        </w:rPr>
        <w:t>is defined as an exchange relationship that clearly d</w:t>
      </w:r>
      <w:r w:rsidRPr="00964AD8">
        <w:rPr>
          <w:rFonts w:ascii="TimesNewRomanPSMT" w:eastAsia="Times New Roman" w:hAnsi="TimesNewRomanPSMT" w:cs="Times New Roman"/>
          <w:sz w:val="20"/>
          <w:szCs w:val="20"/>
        </w:rPr>
        <w:t xml:space="preserve">istinguishes </w:t>
      </w:r>
      <w:r w:rsidRPr="00964AD8">
        <w:rPr>
          <w:rFonts w:ascii="Times New Roman" w:eastAsia="Times New Roman" w:hAnsi="Times New Roman" w:cs="Times New Roman"/>
          <w:sz w:val="20"/>
          <w:szCs w:val="20"/>
        </w:rPr>
        <w:t>the follower from the leader and is focused on the contingent reward system with individuals being rewarded or punished based on their performance (Thomas, 2016). Transactional leadership may have become the dominant style of leadership in TGH’s surgical units because of the lack of training and incompetence among nurses. The nurse leaders decided to change the leadership style of charge nurses with a quality improvement (QI) initiative based on the data analysis. The proposal for the QI initiative will identify an ideal leadership style and propose strategies to implement the style. Knowledge gaps or areas of uncertainty that require further evaluation will also be discussed in the proposal.</w:t>
      </w:r>
      <w:r w:rsidRPr="00964AD8">
        <w:rPr>
          <w:rFonts w:ascii="Times New Roman" w:eastAsia="Times New Roman" w:hAnsi="Times New Roman" w:cs="Times New Roman"/>
          <w:sz w:val="20"/>
          <w:szCs w:val="20"/>
        </w:rPr>
        <w:br/>
      </w:r>
      <w:r w:rsidRPr="00964AD8">
        <w:rPr>
          <w:rFonts w:ascii="Times New Roman,Bold" w:eastAsia="Times New Roman" w:hAnsi="Times New Roman,Bold" w:cs="Times New Roman"/>
          <w:sz w:val="20"/>
          <w:szCs w:val="20"/>
        </w:rPr>
        <w:t xml:space="preserve">Outline for the Quality Improvement Initiative Proposal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lastRenderedPageBreak/>
        <w:t xml:space="preserve">Charge nurses occupy a frontline position in influencing the staff engaged in patient care (Thomas, 2016). They are responsible for functions such as coordinating and evaluating nurse staffing plans, balancing unit budgets, and making patient assignments. However, the transactional leadership at TGH was ineffective because the charge nurses were not skilled enough to notice nurse dissatisfaction, prevent conflicts and competition </w:t>
      </w:r>
      <w:r w:rsidRPr="00964AD8">
        <w:rPr>
          <w:rFonts w:ascii="TimesNewRomanPSMT" w:eastAsia="Times New Roman" w:hAnsi="TimesNewRomanPSMT" w:cs="Times New Roman"/>
          <w:sz w:val="20"/>
          <w:szCs w:val="20"/>
        </w:rPr>
        <w:t xml:space="preserve">among </w:t>
      </w:r>
      <w:r w:rsidRPr="00964AD8">
        <w:rPr>
          <w:rFonts w:ascii="Times New Roman" w:eastAsia="Times New Roman" w:hAnsi="Times New Roman" w:cs="Times New Roman"/>
          <w:sz w:val="20"/>
          <w:szCs w:val="20"/>
        </w:rPr>
        <w:t xml:space="preserve">the nurses, </w:t>
      </w:r>
      <w:r w:rsidRPr="00964AD8">
        <w:rPr>
          <w:rFonts w:ascii="TimesNewRomanPSMT" w:eastAsia="Times New Roman" w:hAnsi="TimesNewRomanPSMT" w:cs="Times New Roman"/>
          <w:sz w:val="20"/>
          <w:szCs w:val="20"/>
        </w:rPr>
        <w:t xml:space="preserve">or </w:t>
      </w:r>
      <w:r w:rsidRPr="00964AD8">
        <w:rPr>
          <w:rFonts w:ascii="Times New Roman" w:eastAsia="Times New Roman" w:hAnsi="Times New Roman" w:cs="Times New Roman"/>
          <w:sz w:val="20"/>
          <w:szCs w:val="20"/>
        </w:rPr>
        <w:t xml:space="preserve">establish effective communication channels. The surgical units’ nurses were not given any guidance by the charge nurses on accomplishing quality improvement tasks or participating in collaborative and interprofessional efforts. Because of the transactional leadership’s tendency to reward or punish staff based on performance (Thomas, 2016), the nursing staff paid more attention to accomplishing tasks such as discharging patients quickly than </w:t>
      </w:r>
      <w:r w:rsidRPr="00964AD8">
        <w:rPr>
          <w:rFonts w:ascii="TimesNewRomanPSMT" w:eastAsia="Times New Roman" w:hAnsi="TimesNewRomanPSMT" w:cs="Times New Roman"/>
          <w:sz w:val="20"/>
          <w:szCs w:val="20"/>
        </w:rPr>
        <w:t xml:space="preserve">to </w:t>
      </w:r>
      <w:r w:rsidRPr="00964AD8">
        <w:rPr>
          <w:rFonts w:ascii="Times New Roman" w:eastAsia="Times New Roman" w:hAnsi="Times New Roman" w:cs="Times New Roman"/>
          <w:sz w:val="20"/>
          <w:szCs w:val="20"/>
        </w:rPr>
        <w:t xml:space="preserve">ensuring patient satisfaction.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The QI initiative will provide strategies that support the transition from transactional to transformational leadership. Transformational leaders focus on internalizing ethical and professional values in their team members and assist in aligning those values with organizational goals. A transformational leader’s optimism, selfless service, and creativity motivate and encourage teams. It is worth noting that the motivational and inspirational aspects of transformational leadership will significantly change the work environment and the nurses’ commitment to the organization (Thomas, 2016).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The quality improvement model that is best suited to introduce and implement transformational leadership is the </w:t>
      </w:r>
      <w:r w:rsidRPr="00964AD8">
        <w:rPr>
          <w:rFonts w:ascii="TimesNewRomanPSMT" w:eastAsia="Times New Roman" w:hAnsi="TimesNewRomanPSMT" w:cs="Times New Roman"/>
          <w:sz w:val="20"/>
          <w:szCs w:val="20"/>
        </w:rPr>
        <w:t>P</w:t>
      </w:r>
      <w:r w:rsidRPr="00964AD8">
        <w:rPr>
          <w:rFonts w:ascii="Times New Roman" w:eastAsia="Times New Roman" w:hAnsi="Times New Roman" w:cs="Times New Roman"/>
          <w:sz w:val="20"/>
          <w:szCs w:val="20"/>
        </w:rPr>
        <w:t>lan-</w:t>
      </w:r>
      <w:r w:rsidRPr="00964AD8">
        <w:rPr>
          <w:rFonts w:ascii="TimesNewRomanPSMT" w:eastAsia="Times New Roman" w:hAnsi="TimesNewRomanPSMT" w:cs="Times New Roman"/>
          <w:sz w:val="20"/>
          <w:szCs w:val="20"/>
        </w:rPr>
        <w:t>D</w:t>
      </w:r>
      <w:r w:rsidRPr="00964AD8">
        <w:rPr>
          <w:rFonts w:ascii="Times New Roman" w:eastAsia="Times New Roman" w:hAnsi="Times New Roman" w:cs="Times New Roman"/>
          <w:sz w:val="20"/>
          <w:szCs w:val="20"/>
        </w:rPr>
        <w:t>o-</w:t>
      </w:r>
      <w:r w:rsidRPr="00964AD8">
        <w:rPr>
          <w:rFonts w:ascii="TimesNewRomanPSMT" w:eastAsia="Times New Roman" w:hAnsi="TimesNewRomanPSMT" w:cs="Times New Roman"/>
          <w:sz w:val="20"/>
          <w:szCs w:val="20"/>
        </w:rPr>
        <w:t>S</w:t>
      </w:r>
      <w:r w:rsidRPr="00964AD8">
        <w:rPr>
          <w:rFonts w:ascii="Times New Roman" w:eastAsia="Times New Roman" w:hAnsi="Times New Roman" w:cs="Times New Roman"/>
          <w:sz w:val="20"/>
          <w:szCs w:val="20"/>
        </w:rPr>
        <w:t>tudy-</w:t>
      </w:r>
      <w:r w:rsidRPr="00964AD8">
        <w:rPr>
          <w:rFonts w:ascii="TimesNewRomanPSMT" w:eastAsia="Times New Roman" w:hAnsi="TimesNewRomanPSMT" w:cs="Times New Roman"/>
          <w:sz w:val="20"/>
          <w:szCs w:val="20"/>
        </w:rPr>
        <w:t>A</w:t>
      </w:r>
      <w:r w:rsidRPr="00964AD8">
        <w:rPr>
          <w:rFonts w:ascii="Times New Roman" w:eastAsia="Times New Roman" w:hAnsi="Times New Roman" w:cs="Times New Roman"/>
          <w:sz w:val="20"/>
          <w:szCs w:val="20"/>
        </w:rPr>
        <w:t xml:space="preserve">ct (PDSA) model. Hence, the model will serve as the framework for the QI initiative. The model is effective when there is a need for accelerated change, as in TGH’s case. The four steps of the framework can </w:t>
      </w:r>
      <w:r w:rsidRPr="00964AD8">
        <w:rPr>
          <w:rFonts w:ascii="TimesNewRomanPSMT" w:eastAsia="Times New Roman" w:hAnsi="TimesNewRomanPSMT" w:cs="Times New Roman"/>
          <w:sz w:val="20"/>
          <w:szCs w:val="20"/>
        </w:rPr>
        <w:t>e</w:t>
      </w:r>
      <w:r w:rsidRPr="00964AD8">
        <w:rPr>
          <w:rFonts w:ascii="Times New Roman" w:eastAsia="Times New Roman" w:hAnsi="Times New Roman" w:cs="Times New Roman"/>
          <w:sz w:val="20"/>
          <w:szCs w:val="20"/>
        </w:rPr>
        <w:t>ffect system</w:t>
      </w:r>
      <w:r w:rsidRPr="00964AD8">
        <w:rPr>
          <w:rFonts w:ascii="TimesNewRomanPSMT" w:eastAsia="Times New Roman" w:hAnsi="TimesNewRomanPSMT" w:cs="Times New Roman"/>
          <w:sz w:val="20"/>
          <w:szCs w:val="20"/>
        </w:rPr>
        <w:t xml:space="preserve">ic </w:t>
      </w:r>
      <w:r w:rsidRPr="00964AD8">
        <w:rPr>
          <w:rFonts w:ascii="Times New Roman" w:eastAsia="Times New Roman" w:hAnsi="Times New Roman" w:cs="Times New Roman"/>
          <w:sz w:val="20"/>
          <w:szCs w:val="20"/>
        </w:rPr>
        <w:t xml:space="preserve">change that will promote long-term improvement and implementation of the initiative on a larger scale. Various strategies incorporated into the PDSA steps will be discussed briefly (Thomas, 2016). 1. Plan: This step involves setting up an interdisciplinary team. While the nurse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leaders already identified the problem to be transactional leadership through discussions and the analysis, the interprofessional team will validate the previous </w:t>
      </w: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lastRenderedPageBreak/>
        <w:t xml:space="preserve">QUALITY IMPROVEMENT INITIATIVE PROPOSAL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6</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results using a Multifactor Leadership Questionnaire survey. The survey will be distributed to the nurses as well as other perioperative health care professionals. After the results of the survey are analyzed, the team will define achievable goals such as establishing a transformational leadership style and improving the affected quality indicators. </w:t>
      </w:r>
    </w:p>
    <w:p w:rsidR="00964AD8" w:rsidRPr="00964AD8" w:rsidRDefault="00964AD8" w:rsidP="00964AD8">
      <w:pPr>
        <w:numPr>
          <w:ilvl w:val="0"/>
          <w:numId w:val="1"/>
        </w:numPr>
        <w:spacing w:before="100" w:beforeAutospacing="1" w:after="100" w:afterAutospacing="1" w:line="480" w:lineRule="auto"/>
        <w:rPr>
          <w:rFonts w:ascii="Times New Roman" w:eastAsia="Times New Roman" w:hAnsi="Times New Roman" w:cs="Times New Roman"/>
          <w:sz w:val="20"/>
          <w:szCs w:val="20"/>
        </w:rPr>
      </w:pPr>
      <w:r w:rsidRPr="00964AD8">
        <w:rPr>
          <w:rFonts w:ascii="Times New Roman" w:eastAsia="Times New Roman" w:hAnsi="Times New Roman" w:cs="Times New Roman"/>
          <w:sz w:val="20"/>
          <w:szCs w:val="20"/>
        </w:rPr>
        <w:t xml:space="preserve">Do: In this step, the team, with support from the organization, will create a strategic plan to achieve the defined goals. Examples of strategies include introducing training modules for leadership development and quality and safety education. </w:t>
      </w:r>
    </w:p>
    <w:p w:rsidR="00964AD8" w:rsidRPr="00964AD8" w:rsidRDefault="00964AD8" w:rsidP="00964AD8">
      <w:pPr>
        <w:numPr>
          <w:ilvl w:val="0"/>
          <w:numId w:val="1"/>
        </w:numPr>
        <w:spacing w:before="100" w:beforeAutospacing="1" w:after="100" w:afterAutospacing="1" w:line="480" w:lineRule="auto"/>
        <w:rPr>
          <w:rFonts w:ascii="Times New Roman" w:eastAsia="Times New Roman" w:hAnsi="Times New Roman" w:cs="Times New Roman"/>
          <w:sz w:val="20"/>
          <w:szCs w:val="20"/>
        </w:rPr>
      </w:pPr>
      <w:r w:rsidRPr="00964AD8">
        <w:rPr>
          <w:rFonts w:ascii="Times New Roman" w:eastAsia="Times New Roman" w:hAnsi="Times New Roman" w:cs="Times New Roman"/>
          <w:sz w:val="20"/>
          <w:szCs w:val="20"/>
        </w:rPr>
        <w:t xml:space="preserve">Study: The results from the implementation of strategies devised in the previous steps are analyzed. Observations are based on different interprofessional perspectives and are set against the performances of TGH’s surgical units, not just nursing. </w:t>
      </w:r>
    </w:p>
    <w:p w:rsidR="00964AD8" w:rsidRPr="00964AD8" w:rsidRDefault="00964AD8" w:rsidP="00964AD8">
      <w:pPr>
        <w:numPr>
          <w:ilvl w:val="0"/>
          <w:numId w:val="1"/>
        </w:numPr>
        <w:spacing w:before="100" w:beforeAutospacing="1" w:after="100" w:afterAutospacing="1" w:line="480" w:lineRule="auto"/>
        <w:rPr>
          <w:rFonts w:ascii="Times New Roman" w:eastAsia="Times New Roman" w:hAnsi="Times New Roman" w:cs="Times New Roman"/>
          <w:sz w:val="20"/>
          <w:szCs w:val="20"/>
        </w:rPr>
      </w:pPr>
      <w:r w:rsidRPr="00964AD8">
        <w:rPr>
          <w:rFonts w:ascii="Times New Roman" w:eastAsia="Times New Roman" w:hAnsi="Times New Roman" w:cs="Times New Roman"/>
          <w:sz w:val="20"/>
          <w:szCs w:val="20"/>
        </w:rPr>
        <w:t xml:space="preserve">Act: In the final step of the PDSA model, the goals set in step one are reevaluated to determine whether the strategies were effective. TGH can carry out the step by calculating data on the four quality indicators and noting increases or decreases in the quality outcomes. Based on that evaluation, the PDSA cycle is deemed complete or renewed with new goals and strategies.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Despite the effectiveness of the PDSA model, knowledge gaps and areas of uncertainty may still affect the QI process. First, the use of just four indicators to measure quality outcomes in the surgical units can give a partial or narrow understanding of the issues. Further evaluation should be done using indicators such as mortality and patient satisfaction and nurse-sensitive indicators such as nurse perception of job and level of nursing education. </w:t>
      </w: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r w:rsidRPr="00964AD8">
        <w:rPr>
          <w:rFonts w:ascii="Times New Roman" w:eastAsia="Times New Roman" w:hAnsi="Times New Roman" w:cs="Times New Roman"/>
          <w:sz w:val="20"/>
          <w:szCs w:val="20"/>
        </w:rPr>
        <w:t xml:space="preserve">Secondly, the data only shows problems affecting the hospital’s surgical units. Foundational theories such as systems theory explain how problems in one part of the organization affect performance and quality outcomes in other parts. However, there is a lack of data on quality issues from other departments at TGH that could be connected to the issues seen in the surgical unit. Therefore, the team spearheading the QI efforts can take steps to include data from other units and departments to create a comprehensive QI initiative. Another area of uncertainty is the studies connecting nursing leadership and patient outcomes. Most studies do not test whether nursing leadership directly improves patient outcomes; they merely analyze the connection conceptually. Understanding the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lastRenderedPageBreak/>
        <w:t xml:space="preserve">QUALITY IMPROVEMENT INITIATIVE PROPOSAL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7</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relationship between leaders and patient outcomes requires interventions and longitudinal studies with continuous observations (Wong, 2015).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To achieve better patient outcomes by changing the nursing leadership, the proposed QI initiative will be guided by various interprofessional perspectives. The perspectives will support patient safety, cost-effectiveness, and work</w:t>
      </w:r>
      <w:r w:rsidRPr="00964AD8">
        <w:rPr>
          <w:rFonts w:ascii="TimesNewRomanPSMT" w:eastAsia="Times New Roman" w:hAnsi="TimesNewRomanPSMT" w:cs="Times New Roman"/>
          <w:sz w:val="20"/>
          <w:szCs w:val="20"/>
        </w:rPr>
        <w:t>-</w:t>
      </w:r>
      <w:r w:rsidRPr="00964AD8">
        <w:rPr>
          <w:rFonts w:ascii="Times New Roman" w:eastAsia="Times New Roman" w:hAnsi="Times New Roman" w:cs="Times New Roman"/>
          <w:sz w:val="20"/>
          <w:szCs w:val="20"/>
        </w:rPr>
        <w:t xml:space="preserve">life quality for nurses and other units’ staff. Each perspective will address an aspect relevant to TGH, such as leadership and teamwork. The discussion will also identify assumptions that highlight the importance of these perspectives. </w:t>
      </w:r>
      <w:r w:rsidRPr="00964AD8">
        <w:rPr>
          <w:rFonts w:ascii="Times New Roman,Bold" w:eastAsia="Times New Roman" w:hAnsi="Times New Roman,Bold" w:cs="Times New Roman"/>
          <w:sz w:val="20"/>
          <w:szCs w:val="20"/>
        </w:rPr>
        <w:t xml:space="preserve">Integration of Interprofessional Perspectives That Support Quality Improvement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Over the years, efforts to improve health care quality and safety drew inspiration from various interprofessional perspectives. The perspectives important to TGH are leadership theory, systems theory, and collaborative relationships. The identification of these specific perspectives and their integration into the hospital’s QI initiative are based on assumptions made on the factors that influence patient outcomes.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One assumption is that health care systems are interconnected and problems in one unit or department can affect other parts of the system (Huber, 2017); problems in the surgical units can affect the quality of other hospital departments. When quality is compromised in multiple departments, the organization will be </w:t>
      </w:r>
      <w:r w:rsidRPr="00964AD8">
        <w:rPr>
          <w:rFonts w:ascii="TimesNewRomanPSMT" w:eastAsia="Times New Roman" w:hAnsi="TimesNewRomanPSMT" w:cs="Times New Roman"/>
          <w:sz w:val="20"/>
          <w:szCs w:val="20"/>
        </w:rPr>
        <w:t>un</w:t>
      </w:r>
      <w:r w:rsidRPr="00964AD8">
        <w:rPr>
          <w:rFonts w:ascii="Times New Roman" w:eastAsia="Times New Roman" w:hAnsi="Times New Roman" w:cs="Times New Roman"/>
          <w:sz w:val="20"/>
          <w:szCs w:val="20"/>
        </w:rPr>
        <w:t xml:space="preserve">able to function properly and achieve its goals of providing quality and safe care for patients. Poor nursing performance and quality also affect the performance of doctors, therapists, pharmacists, dieticians, and other interdisciplinary professionals working in the surgical unit. These health care professionals work alongside nurses and depend on them to carry out care plans effectively, quickly, and cost-effectively.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Another assumption is that nurse leaders such as charge nurses can learn and develop leadership attributes (Thomas, 2016) that will help them improve their leadership style. However, leadership development can only take place if the organization is supportive and allocates appropriate resources and facilities. The third and last assumption guiding the conceptual basis of the initiative is that anyone</w:t>
      </w:r>
      <w:r w:rsidRPr="00964AD8">
        <w:rPr>
          <w:rFonts w:ascii="TimesNewRomanPSMT" w:eastAsia="Times New Roman" w:hAnsi="TimesNewRomanPSMT" w:cs="Times New Roman"/>
          <w:sz w:val="20"/>
          <w:szCs w:val="20"/>
        </w:rPr>
        <w:t>—</w:t>
      </w:r>
      <w:r w:rsidRPr="00964AD8">
        <w:rPr>
          <w:rFonts w:ascii="Times New Roman" w:eastAsia="Times New Roman" w:hAnsi="Times New Roman" w:cs="Times New Roman"/>
          <w:sz w:val="20"/>
          <w:szCs w:val="20"/>
        </w:rPr>
        <w:t>not just executives or managers</w:t>
      </w:r>
      <w:r w:rsidRPr="00964AD8">
        <w:rPr>
          <w:rFonts w:ascii="TimesNewRomanPSMT" w:eastAsia="Times New Roman" w:hAnsi="TimesNewRomanPSMT" w:cs="Times New Roman"/>
          <w:sz w:val="20"/>
          <w:szCs w:val="20"/>
        </w:rPr>
        <w:t>—</w:t>
      </w:r>
      <w:r w:rsidRPr="00964AD8">
        <w:rPr>
          <w:rFonts w:ascii="Times New Roman" w:eastAsia="Times New Roman" w:hAnsi="Times New Roman" w:cs="Times New Roman"/>
          <w:sz w:val="20"/>
          <w:szCs w:val="20"/>
        </w:rPr>
        <w:t xml:space="preserve">can practice leadership (Smith-Trudeau, 2016). </w:t>
      </w: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lastRenderedPageBreak/>
        <w:t>QUALITY IMPROVEMENT INITIATIVE PROPOSAL</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8</w:t>
      </w:r>
      <w:r w:rsidRPr="00964AD8">
        <w:rPr>
          <w:rFonts w:ascii="Times New Roman" w:eastAsia="Times New Roman" w:hAnsi="Times New Roman" w:cs="Times New Roman"/>
          <w:sz w:val="20"/>
          <w:szCs w:val="20"/>
        </w:rPr>
        <w:t xml:space="preserve">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The main theme explored in these assumptions is leadership; it is an important systems theory factor and collaborative relationships are influenced by leadership styles. Although the connection between leadership and patient safety needs to be further evaluated, experts agree that certain leadership styles obtain better results than others do. In particular, experts have compared the effectiveness of transactional leadership </w:t>
      </w:r>
      <w:r w:rsidRPr="00964AD8">
        <w:rPr>
          <w:rFonts w:ascii="TimesNewRomanPSMT" w:eastAsia="Times New Roman" w:hAnsi="TimesNewRomanPSMT" w:cs="Times New Roman"/>
          <w:sz w:val="20"/>
          <w:szCs w:val="20"/>
        </w:rPr>
        <w:t xml:space="preserve">to </w:t>
      </w:r>
      <w:r w:rsidRPr="00964AD8">
        <w:rPr>
          <w:rFonts w:ascii="Times New Roman" w:eastAsia="Times New Roman" w:hAnsi="Times New Roman" w:cs="Times New Roman"/>
          <w:sz w:val="20"/>
          <w:szCs w:val="20"/>
        </w:rPr>
        <w:t xml:space="preserve">transformational leadership in achieving patient safety. Transactional leadership, as was observed in TGH, is </w:t>
      </w:r>
      <w:r w:rsidRPr="00964AD8">
        <w:rPr>
          <w:rFonts w:ascii="TimesNewRomanPSMT" w:eastAsia="Times New Roman" w:hAnsi="TimesNewRomanPSMT" w:cs="Times New Roman"/>
          <w:sz w:val="20"/>
          <w:szCs w:val="20"/>
        </w:rPr>
        <w:t>in</w:t>
      </w:r>
      <w:r w:rsidRPr="00964AD8">
        <w:rPr>
          <w:rFonts w:ascii="Times New Roman" w:eastAsia="Times New Roman" w:hAnsi="Times New Roman" w:cs="Times New Roman"/>
          <w:sz w:val="20"/>
          <w:szCs w:val="20"/>
        </w:rPr>
        <w:t>effective</w:t>
      </w:r>
      <w:r w:rsidRPr="00964AD8">
        <w:rPr>
          <w:rFonts w:ascii="TimesNewRomanPSMT" w:eastAsia="Times New Roman" w:hAnsi="TimesNewRomanPSMT" w:cs="Times New Roman"/>
          <w:sz w:val="20"/>
          <w:szCs w:val="20"/>
        </w:rPr>
        <w:t xml:space="preserve">, </w:t>
      </w:r>
      <w:r w:rsidRPr="00964AD8">
        <w:rPr>
          <w:rFonts w:ascii="Times New Roman" w:eastAsia="Times New Roman" w:hAnsi="Times New Roman" w:cs="Times New Roman"/>
          <w:sz w:val="20"/>
          <w:szCs w:val="20"/>
        </w:rPr>
        <w:t xml:space="preserve">as it focuses on rewards rather than outcomes. </w:t>
      </w:r>
      <w:r w:rsidRPr="00964AD8">
        <w:rPr>
          <w:rFonts w:ascii="TimesNewRomanPSMT" w:eastAsia="Times New Roman" w:hAnsi="TimesNewRomanPSMT" w:cs="Times New Roman"/>
          <w:sz w:val="20"/>
          <w:szCs w:val="20"/>
        </w:rPr>
        <w:t>Conversely, t</w:t>
      </w:r>
      <w:r w:rsidRPr="00964AD8">
        <w:rPr>
          <w:rFonts w:ascii="Times New Roman" w:eastAsia="Times New Roman" w:hAnsi="Times New Roman" w:cs="Times New Roman"/>
          <w:sz w:val="20"/>
          <w:szCs w:val="20"/>
        </w:rPr>
        <w:t xml:space="preserve">ransformational leadership </w:t>
      </w:r>
      <w:r w:rsidRPr="00964AD8">
        <w:rPr>
          <w:rFonts w:ascii="TimesNewRomanPSMT" w:eastAsia="Times New Roman" w:hAnsi="TimesNewRomanPSMT" w:cs="Times New Roman"/>
          <w:sz w:val="20"/>
          <w:szCs w:val="20"/>
        </w:rPr>
        <w:t xml:space="preserve">engenders </w:t>
      </w:r>
      <w:r w:rsidRPr="00964AD8">
        <w:rPr>
          <w:rFonts w:ascii="Times New Roman" w:eastAsia="Times New Roman" w:hAnsi="Times New Roman" w:cs="Times New Roman"/>
          <w:sz w:val="20"/>
          <w:szCs w:val="20"/>
        </w:rPr>
        <w:t xml:space="preserve">a higher level of competence that helps in guiding and motivating team members to follow a higher level of ethics and evidence-based care, thereby improving the outcomes for patients (Thomas, 2016). Transformational leaders are also more competent when introducing cost-reduction plans while maintaining quality in their units. They are more skilled </w:t>
      </w:r>
      <w:r w:rsidRPr="00964AD8">
        <w:rPr>
          <w:rFonts w:ascii="TimesNewRomanPSMT" w:eastAsia="Times New Roman" w:hAnsi="TimesNewRomanPSMT" w:cs="Times New Roman"/>
          <w:sz w:val="20"/>
          <w:szCs w:val="20"/>
        </w:rPr>
        <w:t xml:space="preserve">than transactional leaders </w:t>
      </w:r>
      <w:r w:rsidRPr="00964AD8">
        <w:rPr>
          <w:rFonts w:ascii="Times New Roman" w:eastAsia="Times New Roman" w:hAnsi="Times New Roman" w:cs="Times New Roman"/>
          <w:sz w:val="20"/>
          <w:szCs w:val="20"/>
        </w:rPr>
        <w:t>at organizational and administrative management, which is an essential skill for budget</w:t>
      </w:r>
      <w:r w:rsidRPr="00964AD8">
        <w:rPr>
          <w:rFonts w:ascii="TimesNewRomanPSMT" w:eastAsia="Times New Roman" w:hAnsi="TimesNewRomanPSMT" w:cs="Times New Roman"/>
          <w:sz w:val="20"/>
          <w:szCs w:val="20"/>
        </w:rPr>
        <w:t>ing</w:t>
      </w:r>
      <w:r w:rsidRPr="00964AD8">
        <w:rPr>
          <w:rFonts w:ascii="Times New Roman" w:eastAsia="Times New Roman" w:hAnsi="Times New Roman" w:cs="Times New Roman"/>
          <w:sz w:val="20"/>
          <w:szCs w:val="20"/>
        </w:rPr>
        <w:t xml:space="preserve">.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Transformational leadership is also the preferred leadership strategy in implementing systems theory approaches. Systems theory is important in QI</w:t>
      </w:r>
      <w:r w:rsidRPr="00964AD8">
        <w:rPr>
          <w:rFonts w:ascii="TimesNewRomanPSMT" w:eastAsia="Times New Roman" w:hAnsi="TimesNewRomanPSMT" w:cs="Times New Roman"/>
          <w:sz w:val="20"/>
          <w:szCs w:val="20"/>
        </w:rPr>
        <w:t xml:space="preserve">, </w:t>
      </w:r>
      <w:r w:rsidRPr="00964AD8">
        <w:rPr>
          <w:rFonts w:ascii="Times New Roman" w:eastAsia="Times New Roman" w:hAnsi="Times New Roman" w:cs="Times New Roman"/>
          <w:sz w:val="20"/>
          <w:szCs w:val="20"/>
        </w:rPr>
        <w:t xml:space="preserve">as it </w:t>
      </w:r>
      <w:r w:rsidRPr="00964AD8">
        <w:rPr>
          <w:rFonts w:ascii="TimesNewRomanPSMT" w:eastAsia="Times New Roman" w:hAnsi="TimesNewRomanPSMT" w:cs="Times New Roman"/>
          <w:sz w:val="20"/>
          <w:szCs w:val="20"/>
        </w:rPr>
        <w:t xml:space="preserve">focuses on </w:t>
      </w:r>
      <w:r w:rsidRPr="00964AD8">
        <w:rPr>
          <w:rFonts w:ascii="Times New Roman" w:eastAsia="Times New Roman" w:hAnsi="Times New Roman" w:cs="Times New Roman"/>
          <w:sz w:val="20"/>
          <w:szCs w:val="20"/>
        </w:rPr>
        <w:t>understand</w:t>
      </w:r>
      <w:r w:rsidRPr="00964AD8">
        <w:rPr>
          <w:rFonts w:ascii="TimesNewRomanPSMT" w:eastAsia="Times New Roman" w:hAnsi="TimesNewRomanPSMT" w:cs="Times New Roman"/>
          <w:sz w:val="20"/>
          <w:szCs w:val="20"/>
        </w:rPr>
        <w:t xml:space="preserve">ing </w:t>
      </w:r>
      <w:r w:rsidRPr="00964AD8">
        <w:rPr>
          <w:rFonts w:ascii="Times New Roman" w:eastAsia="Times New Roman" w:hAnsi="Times New Roman" w:cs="Times New Roman"/>
          <w:sz w:val="20"/>
          <w:szCs w:val="20"/>
        </w:rPr>
        <w:t xml:space="preserve">root causes and symptoms of quality and performance problems (Huber, 2017). By understanding latent causes of quality issues, TGH can focus on proactive quality measures that prevent quality and safety issues in the long term. Such approaches are known to be cost- effective and sustainable.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Transformational leadership’s focus on people through effective interpersonal relationships and charismatic influence </w:t>
      </w:r>
      <w:r w:rsidRPr="00964AD8">
        <w:rPr>
          <w:rFonts w:ascii="TimesNewRomanPSMT" w:eastAsia="Times New Roman" w:hAnsi="TimesNewRomanPSMT" w:cs="Times New Roman"/>
          <w:sz w:val="20"/>
          <w:szCs w:val="20"/>
        </w:rPr>
        <w:t xml:space="preserve">is </w:t>
      </w:r>
      <w:r w:rsidRPr="00964AD8">
        <w:rPr>
          <w:rFonts w:ascii="Times New Roman" w:eastAsia="Times New Roman" w:hAnsi="Times New Roman" w:cs="Times New Roman"/>
          <w:sz w:val="20"/>
          <w:szCs w:val="20"/>
        </w:rPr>
        <w:t>also beneficial for establishing collaborations among teams and developing optimum work</w:t>
      </w:r>
      <w:r w:rsidRPr="00964AD8">
        <w:rPr>
          <w:rFonts w:ascii="TimesNewRomanPSMT" w:eastAsia="Times New Roman" w:hAnsi="TimesNewRomanPSMT" w:cs="Times New Roman"/>
          <w:sz w:val="20"/>
          <w:szCs w:val="20"/>
        </w:rPr>
        <w:t>-</w:t>
      </w:r>
      <w:r w:rsidRPr="00964AD8">
        <w:rPr>
          <w:rFonts w:ascii="Times New Roman" w:eastAsia="Times New Roman" w:hAnsi="Times New Roman" w:cs="Times New Roman"/>
          <w:sz w:val="20"/>
          <w:szCs w:val="20"/>
        </w:rPr>
        <w:t xml:space="preserve">life quality for staff. The surgical units at TGH, consisting of interprofessional staff, depend on a sense of shared goals </w:t>
      </w:r>
      <w:r w:rsidRPr="00964AD8">
        <w:rPr>
          <w:rFonts w:ascii="TimesNewRomanPSMT" w:eastAsia="Times New Roman" w:hAnsi="TimesNewRomanPSMT" w:cs="Times New Roman"/>
          <w:sz w:val="20"/>
          <w:szCs w:val="20"/>
        </w:rPr>
        <w:t>among staff</w:t>
      </w:r>
      <w:r w:rsidRPr="00964AD8">
        <w:rPr>
          <w:rFonts w:ascii="Times New Roman" w:eastAsia="Times New Roman" w:hAnsi="Times New Roman" w:cs="Times New Roman"/>
          <w:sz w:val="20"/>
          <w:szCs w:val="20"/>
        </w:rPr>
        <w:t xml:space="preserve">. The nurses are the largest staff group in the surgical units and issues within their workforce such as nonalignment of goals affect other units’ staff. Transformational leaders are capable of guiding nurses in building respectful and positive relationships with their colleagues. </w:t>
      </w: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r w:rsidRPr="00964AD8">
        <w:rPr>
          <w:rFonts w:ascii="Times New Roman" w:eastAsia="Times New Roman" w:hAnsi="Times New Roman" w:cs="Times New Roman"/>
          <w:sz w:val="20"/>
          <w:szCs w:val="20"/>
        </w:rPr>
        <w:t xml:space="preserve">These interprofessional perspectives will act as guides for the QI team </w:t>
      </w:r>
      <w:r w:rsidRPr="00964AD8">
        <w:rPr>
          <w:rFonts w:ascii="TimesNewRomanPSMT" w:eastAsia="Times New Roman" w:hAnsi="TimesNewRomanPSMT" w:cs="Times New Roman"/>
          <w:sz w:val="20"/>
          <w:szCs w:val="20"/>
        </w:rPr>
        <w:t xml:space="preserve">as </w:t>
      </w:r>
      <w:r w:rsidRPr="00964AD8">
        <w:rPr>
          <w:rFonts w:ascii="Times New Roman" w:eastAsia="Times New Roman" w:hAnsi="Times New Roman" w:cs="Times New Roman"/>
          <w:sz w:val="20"/>
          <w:szCs w:val="20"/>
        </w:rPr>
        <w:t xml:space="preserve">they implement the PDSA steps. The perspectives are especially useful in facilitating open and transparent communication. The QI proposal will suggest communication strategies that are imperative when expanding the proposal into a full-fledged QI program. The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lastRenderedPageBreak/>
        <w:t xml:space="preserve">QUALITY IMPROVEMENT INITIATIVE PROPOSAL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9</w:t>
      </w: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proposal will also provide assumptions that will guide those suggestions.</w:t>
      </w:r>
      <w:r w:rsidRPr="00964AD8">
        <w:rPr>
          <w:rFonts w:ascii="Times New Roman" w:eastAsia="Times New Roman" w:hAnsi="Times New Roman" w:cs="Times New Roman"/>
          <w:sz w:val="20"/>
          <w:szCs w:val="20"/>
        </w:rPr>
        <w:br/>
      </w:r>
      <w:r w:rsidRPr="00964AD8">
        <w:rPr>
          <w:rFonts w:ascii="Times New Roman,Bold" w:eastAsia="Times New Roman" w:hAnsi="Times New Roman,Bold" w:cs="Times New Roman"/>
          <w:sz w:val="20"/>
          <w:szCs w:val="20"/>
        </w:rPr>
        <w:t xml:space="preserve">Effective Communication Strategies to Promote Quality Improvement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Communication is a key leadership duty and facilitates the smooth functioning of different organizational systems (Huber, 2017). Without effective communication methods, leaders will not be able to convey organizational goals and decisions or implement QI changes. At TGH, the charge nurses </w:t>
      </w:r>
      <w:r w:rsidRPr="00964AD8">
        <w:rPr>
          <w:rFonts w:ascii="TimesNewRomanPSMT" w:eastAsia="Times New Roman" w:hAnsi="TimesNewRomanPSMT" w:cs="Times New Roman"/>
          <w:sz w:val="20"/>
          <w:szCs w:val="20"/>
        </w:rPr>
        <w:t xml:space="preserve">could not </w:t>
      </w:r>
      <w:r w:rsidRPr="00964AD8">
        <w:rPr>
          <w:rFonts w:ascii="Times New Roman" w:eastAsia="Times New Roman" w:hAnsi="Times New Roman" w:cs="Times New Roman"/>
          <w:sz w:val="20"/>
          <w:szCs w:val="20"/>
        </w:rPr>
        <w:t xml:space="preserve">communicate care plans to their nursing staff or coordinate with other units’ leaders and interdisciplinary professionals to achieve ideal outcomes. Their ineffective communication methods also set a bad example for the nursing staff, who look to their leaders for guidance and instruction.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Therefore, it is important to develop communication strategies before the QI strategies are implemented. Well-defined communication channels will promote interprofessional efforts in patient care and quality improvement. The assumptions guiding the strategies are as follows: (a) Leaders facilitate and mediate effective interprofessional collaborations in care delivery, which can only happen if the leaders are competent in communication skills; (b) Quality improvement is a resource-intensive effort, but coordinating and utilizing those resources </w:t>
      </w:r>
      <w:r w:rsidRPr="00964AD8">
        <w:rPr>
          <w:rFonts w:ascii="TimesNewRomanPSMT" w:eastAsia="Times New Roman" w:hAnsi="TimesNewRomanPSMT" w:cs="Times New Roman"/>
          <w:sz w:val="20"/>
          <w:szCs w:val="20"/>
        </w:rPr>
        <w:t xml:space="preserve">requires </w:t>
      </w:r>
      <w:r w:rsidRPr="00964AD8">
        <w:rPr>
          <w:rFonts w:ascii="Times New Roman" w:eastAsia="Times New Roman" w:hAnsi="Times New Roman" w:cs="Times New Roman"/>
          <w:sz w:val="20"/>
          <w:szCs w:val="20"/>
        </w:rPr>
        <w:t xml:space="preserve">open and honest communication </w:t>
      </w:r>
      <w:r w:rsidRPr="00964AD8">
        <w:rPr>
          <w:rFonts w:ascii="TimesNewRomanPSMT" w:eastAsia="Times New Roman" w:hAnsi="TimesNewRomanPSMT" w:cs="Times New Roman"/>
          <w:sz w:val="20"/>
          <w:szCs w:val="20"/>
        </w:rPr>
        <w:t xml:space="preserve">among </w:t>
      </w:r>
      <w:r w:rsidRPr="00964AD8">
        <w:rPr>
          <w:rFonts w:ascii="Times New Roman" w:eastAsia="Times New Roman" w:hAnsi="Times New Roman" w:cs="Times New Roman"/>
          <w:sz w:val="20"/>
          <w:szCs w:val="20"/>
        </w:rPr>
        <w:t xml:space="preserve">organization, patients, and interprofessional staff; (c) Nursing autonomy in decision making is important for improving the performance of nursing staff, but autonomy is a product of mutual respect and effective communication </w:t>
      </w:r>
      <w:r w:rsidRPr="00964AD8">
        <w:rPr>
          <w:rFonts w:ascii="TimesNewRomanPSMT" w:eastAsia="Times New Roman" w:hAnsi="TimesNewRomanPSMT" w:cs="Times New Roman"/>
          <w:sz w:val="20"/>
          <w:szCs w:val="20"/>
        </w:rPr>
        <w:t xml:space="preserve">among </w:t>
      </w:r>
      <w:r w:rsidRPr="00964AD8">
        <w:rPr>
          <w:rFonts w:ascii="Times New Roman" w:eastAsia="Times New Roman" w:hAnsi="Times New Roman" w:cs="Times New Roman"/>
          <w:sz w:val="20"/>
          <w:szCs w:val="20"/>
        </w:rPr>
        <w:t xml:space="preserve">all interprofessional staff, including management and administrative staff.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Based on these assumptions, a few communication strategies to implement the QI initiative and promote interprofessional care or teamwork </w:t>
      </w:r>
      <w:r w:rsidRPr="00964AD8">
        <w:rPr>
          <w:rFonts w:ascii="TimesNewRomanPSMT" w:eastAsia="Times New Roman" w:hAnsi="TimesNewRomanPSMT" w:cs="Times New Roman"/>
          <w:sz w:val="20"/>
          <w:szCs w:val="20"/>
        </w:rPr>
        <w:t>are recommended</w:t>
      </w:r>
      <w:r w:rsidRPr="00964AD8">
        <w:rPr>
          <w:rFonts w:ascii="Times New Roman" w:eastAsia="Times New Roman" w:hAnsi="Times New Roman" w:cs="Times New Roman"/>
          <w:sz w:val="20"/>
          <w:szCs w:val="20"/>
        </w:rPr>
        <w:t>. The strategies are as follows: (a) training the QI team in verbal, nonverbal, written, and electronic means of communication, which will improve relations within the team and will be useful during interprofessional collaborations; (b) setting up team documentation</w:t>
      </w:r>
      <w:r w:rsidRPr="00964AD8">
        <w:rPr>
          <w:rFonts w:ascii="TimesNewRomanPSMT" w:eastAsia="Times New Roman" w:hAnsi="TimesNewRomanPSMT" w:cs="Times New Roman"/>
          <w:sz w:val="20"/>
          <w:szCs w:val="20"/>
        </w:rPr>
        <w:t xml:space="preserve">, </w:t>
      </w:r>
      <w:r w:rsidRPr="00964AD8">
        <w:rPr>
          <w:rFonts w:ascii="Times New Roman" w:eastAsia="Times New Roman" w:hAnsi="Times New Roman" w:cs="Times New Roman"/>
          <w:sz w:val="20"/>
          <w:szCs w:val="20"/>
        </w:rPr>
        <w:t xml:space="preserve">where all team members will enter details of ideas, meeting minutes, and QI-related data; during the </w:t>
      </w:r>
      <w:r w:rsidRPr="00964AD8">
        <w:rPr>
          <w:rFonts w:ascii="TimesNewRomanPS" w:eastAsia="Times New Roman" w:hAnsi="TimesNewRomanPS" w:cs="Times New Roman"/>
          <w:i/>
          <w:iCs/>
          <w:sz w:val="20"/>
          <w:szCs w:val="20"/>
        </w:rPr>
        <w:t>D</w:t>
      </w:r>
      <w:r w:rsidRPr="00964AD8">
        <w:rPr>
          <w:rFonts w:ascii="Times New Roman,Italic" w:eastAsia="Times New Roman" w:hAnsi="Times New Roman,Italic" w:cs="Times New Roman"/>
          <w:sz w:val="20"/>
          <w:szCs w:val="20"/>
        </w:rPr>
        <w:t xml:space="preserve">o </w:t>
      </w:r>
      <w:r w:rsidRPr="00964AD8">
        <w:rPr>
          <w:rFonts w:ascii="Times New Roman" w:eastAsia="Times New Roman" w:hAnsi="Times New Roman" w:cs="Times New Roman"/>
          <w:sz w:val="20"/>
          <w:szCs w:val="20"/>
        </w:rPr>
        <w:t xml:space="preserve">stage of the PDSA, team documentation will be implemented at the unit level and all staff present during a patient visit will enter details into the patient record, assist with order entry, and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r w:rsidRPr="00964AD8">
        <w:rPr>
          <w:rFonts w:ascii="Times New Roman" w:eastAsia="Times New Roman" w:hAnsi="Times New Roman" w:cs="Times New Roman"/>
          <w:sz w:val="20"/>
          <w:szCs w:val="20"/>
        </w:rPr>
        <w:lastRenderedPageBreak/>
        <w:t xml:space="preserve">QUALITY IMPROVEMENT INITIATIVE PROPOSAL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10</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process prescriptions (</w:t>
      </w:r>
      <w:proofErr w:type="spellStart"/>
      <w:r w:rsidRPr="00964AD8">
        <w:rPr>
          <w:rFonts w:ascii="Times New Roman" w:eastAsia="Times New Roman" w:hAnsi="Times New Roman" w:cs="Times New Roman"/>
          <w:sz w:val="20"/>
          <w:szCs w:val="20"/>
        </w:rPr>
        <w:t>Bodenheimer</w:t>
      </w:r>
      <w:proofErr w:type="spellEnd"/>
      <w:r w:rsidRPr="00964AD8">
        <w:rPr>
          <w:rFonts w:ascii="Times New Roman" w:eastAsia="Times New Roman" w:hAnsi="Times New Roman" w:cs="Times New Roman"/>
          <w:sz w:val="20"/>
          <w:szCs w:val="20"/>
        </w:rPr>
        <w:t xml:space="preserve"> &amp; </w:t>
      </w:r>
      <w:proofErr w:type="spellStart"/>
      <w:r w:rsidRPr="00964AD8">
        <w:rPr>
          <w:rFonts w:ascii="Times New Roman" w:eastAsia="Times New Roman" w:hAnsi="Times New Roman" w:cs="Times New Roman"/>
          <w:sz w:val="20"/>
          <w:szCs w:val="20"/>
        </w:rPr>
        <w:t>Sinsky</w:t>
      </w:r>
      <w:proofErr w:type="spellEnd"/>
      <w:r w:rsidRPr="00964AD8">
        <w:rPr>
          <w:rFonts w:ascii="Times New Roman" w:eastAsia="Times New Roman" w:hAnsi="Times New Roman" w:cs="Times New Roman"/>
          <w:sz w:val="20"/>
          <w:szCs w:val="20"/>
        </w:rPr>
        <w:t xml:space="preserve">, 2014); (c) setting up a weekly QI team meeting where team members will receive a copy of the agenda in advance and provide feedback on meeting goals; post-meeting, members will be sent copies of all communication via e-mail to maintain transparency (Thomas, 2016); and (d) briefing units’ staff on decisions </w:t>
      </w:r>
      <w:r w:rsidRPr="00964AD8">
        <w:rPr>
          <w:rFonts w:ascii="TimesNewRomanPSMT" w:eastAsia="Times New Roman" w:hAnsi="TimesNewRomanPSMT" w:cs="Times New Roman"/>
          <w:sz w:val="20"/>
          <w:szCs w:val="20"/>
        </w:rPr>
        <w:t xml:space="preserve">made </w:t>
      </w:r>
      <w:r w:rsidRPr="00964AD8">
        <w:rPr>
          <w:rFonts w:ascii="Times New Roman" w:eastAsia="Times New Roman" w:hAnsi="Times New Roman" w:cs="Times New Roman"/>
          <w:sz w:val="20"/>
          <w:szCs w:val="20"/>
        </w:rPr>
        <w:t xml:space="preserve">in these meetings and, when needed, e-mailing summaries of the meeting minutes to all staff members so </w:t>
      </w:r>
      <w:r w:rsidRPr="00964AD8">
        <w:rPr>
          <w:rFonts w:ascii="TimesNewRomanPSMT" w:eastAsia="Times New Roman" w:hAnsi="TimesNewRomanPSMT" w:cs="Times New Roman"/>
          <w:sz w:val="20"/>
          <w:szCs w:val="20"/>
        </w:rPr>
        <w:t>s</w:t>
      </w:r>
      <w:r w:rsidRPr="00964AD8">
        <w:rPr>
          <w:rFonts w:ascii="Times New Roman" w:eastAsia="Times New Roman" w:hAnsi="Times New Roman" w:cs="Times New Roman"/>
          <w:sz w:val="20"/>
          <w:szCs w:val="20"/>
        </w:rPr>
        <w:t xml:space="preserve">pecific groups or individuals will not feel excluded from the QI efforts.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As the QI process progresses, the team can add more communication strategies into the PDSA model or make improvements to the existing strategies. After all, the PDSA model for quality improvement was selected because it allow</w:t>
      </w:r>
      <w:r w:rsidRPr="00964AD8">
        <w:rPr>
          <w:rFonts w:ascii="TimesNewRomanPSMT" w:eastAsia="Times New Roman" w:hAnsi="TimesNewRomanPSMT" w:cs="Times New Roman"/>
          <w:sz w:val="20"/>
          <w:szCs w:val="20"/>
        </w:rPr>
        <w:t xml:space="preserve">s </w:t>
      </w:r>
      <w:r w:rsidRPr="00964AD8">
        <w:rPr>
          <w:rFonts w:ascii="Times New Roman" w:eastAsia="Times New Roman" w:hAnsi="Times New Roman" w:cs="Times New Roman"/>
          <w:sz w:val="20"/>
          <w:szCs w:val="20"/>
        </w:rPr>
        <w:t xml:space="preserve">experimentation, quick pilot testing of plans, and implementing the plans on a larger scale after analyzing the results (Thomas, 2016). The onus of organizing and coordinating the QI efforts falls on the nurse leaders heading the team. They </w:t>
      </w:r>
      <w:r w:rsidRPr="00964AD8">
        <w:rPr>
          <w:rFonts w:ascii="TimesNewRomanPSMT" w:eastAsia="Times New Roman" w:hAnsi="TimesNewRomanPSMT" w:cs="Times New Roman"/>
          <w:sz w:val="20"/>
          <w:szCs w:val="20"/>
        </w:rPr>
        <w:t xml:space="preserve">must </w:t>
      </w:r>
      <w:r w:rsidRPr="00964AD8">
        <w:rPr>
          <w:rFonts w:ascii="Times New Roman" w:eastAsia="Times New Roman" w:hAnsi="Times New Roman" w:cs="Times New Roman"/>
          <w:sz w:val="20"/>
          <w:szCs w:val="20"/>
        </w:rPr>
        <w:t xml:space="preserve">develop their leadership competency to inspire similar changes in the charge nurses.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Bold" w:eastAsia="Times New Roman" w:hAnsi="Times New Roman,Bold" w:cs="Times New Roman"/>
          <w:sz w:val="20"/>
          <w:szCs w:val="20"/>
        </w:rPr>
        <w:t xml:space="preserve">IV. Conclusion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Data</w:t>
      </w:r>
      <w:r w:rsidRPr="00964AD8">
        <w:rPr>
          <w:rFonts w:ascii="TimesNewRomanPSMT" w:eastAsia="Times New Roman" w:hAnsi="TimesNewRomanPSMT" w:cs="Times New Roman"/>
          <w:sz w:val="20"/>
          <w:szCs w:val="20"/>
        </w:rPr>
        <w:t xml:space="preserve">- </w:t>
      </w:r>
      <w:r w:rsidRPr="00964AD8">
        <w:rPr>
          <w:rFonts w:ascii="Times New Roman" w:eastAsia="Times New Roman" w:hAnsi="Times New Roman" w:cs="Times New Roman"/>
          <w:sz w:val="20"/>
          <w:szCs w:val="20"/>
        </w:rPr>
        <w:t>and outcome-driven organizations must constantly analyze their quality indicators and implement changes that improve all clinical and organizational outcomes. Quality and safety evaluations, such as the one conducted at TGH, often reveal hidden issues that are influencing patient outcome negatively</w:t>
      </w:r>
      <w:r w:rsidRPr="00964AD8">
        <w:rPr>
          <w:rFonts w:ascii="TimesNewRomanPSMT" w:eastAsia="Times New Roman" w:hAnsi="TimesNewRomanPSMT" w:cs="Times New Roman"/>
          <w:sz w:val="20"/>
          <w:szCs w:val="20"/>
        </w:rPr>
        <w:t xml:space="preserve">, </w:t>
      </w:r>
      <w:r w:rsidRPr="00964AD8">
        <w:rPr>
          <w:rFonts w:ascii="Times New Roman" w:eastAsia="Times New Roman" w:hAnsi="Times New Roman" w:cs="Times New Roman"/>
          <w:sz w:val="20"/>
          <w:szCs w:val="20"/>
        </w:rPr>
        <w:t xml:space="preserve">such as ineffective leadership styles. Leadership is important in uncovering the latent problems and implementing changes that improve quality and safety. However, as displayed at TGH, leadership itself depends on factors such as interprofessional care and teamwork, communication, and highly qualified health care professionals. The absence of these factors can affect patient outcomes drastically. Understanding this interdependence </w:t>
      </w:r>
      <w:r w:rsidRPr="00964AD8">
        <w:rPr>
          <w:rFonts w:ascii="TimesNewRomanPSMT" w:eastAsia="Times New Roman" w:hAnsi="TimesNewRomanPSMT" w:cs="Times New Roman"/>
          <w:sz w:val="20"/>
          <w:szCs w:val="20"/>
        </w:rPr>
        <w:t xml:space="preserve">among </w:t>
      </w:r>
      <w:r w:rsidRPr="00964AD8">
        <w:rPr>
          <w:rFonts w:ascii="Times New Roman" w:eastAsia="Times New Roman" w:hAnsi="Times New Roman" w:cs="Times New Roman"/>
          <w:sz w:val="20"/>
          <w:szCs w:val="20"/>
        </w:rPr>
        <w:t xml:space="preserve">organization, leadership, and staff is key to high-quality performance and patient safety. </w:t>
      </w: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QUALITY IMPROVEMENT INITIATIVE PROPOSAL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11</w:t>
      </w:r>
      <w:r w:rsidRPr="00964AD8">
        <w:rPr>
          <w:rFonts w:ascii="Times New Roman" w:eastAsia="Times New Roman" w:hAnsi="Times New Roman" w:cs="Times New Roman"/>
          <w:sz w:val="20"/>
          <w:szCs w:val="20"/>
        </w:rPr>
        <w:t xml:space="preserve">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References</w:t>
      </w:r>
      <w:r w:rsidRPr="00964AD8">
        <w:rPr>
          <w:rFonts w:ascii="Times New Roman" w:eastAsia="Times New Roman" w:hAnsi="Times New Roman" w:cs="Times New Roman"/>
          <w:sz w:val="20"/>
          <w:szCs w:val="20"/>
        </w:rPr>
        <w:br/>
        <w:t xml:space="preserve">Abelson, R. (2013, March 29). Hospitals question Medicare rules on readmissions. </w:t>
      </w:r>
      <w:r w:rsidRPr="00964AD8">
        <w:rPr>
          <w:rFonts w:ascii="Times New Roman,Italic" w:eastAsia="Times New Roman" w:hAnsi="Times New Roman,Italic" w:cs="Times New Roman"/>
          <w:sz w:val="20"/>
          <w:szCs w:val="20"/>
        </w:rPr>
        <w:t>The New York Times</w:t>
      </w:r>
      <w:r w:rsidRPr="00964AD8">
        <w:rPr>
          <w:rFonts w:ascii="Times New Roman" w:eastAsia="Times New Roman" w:hAnsi="Times New Roman" w:cs="Times New Roman"/>
          <w:sz w:val="20"/>
          <w:szCs w:val="20"/>
        </w:rPr>
        <w:t xml:space="preserve">. Retrieved from http://nytimes.com/2013/03/30/business/hospitals-question-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fairness-of-new-medicare-rules.html</w:t>
      </w:r>
      <w:r w:rsidRPr="00964AD8">
        <w:rPr>
          <w:rFonts w:ascii="Times New Roman" w:eastAsia="Times New Roman" w:hAnsi="Times New Roman" w:cs="Times New Roman"/>
          <w:sz w:val="20"/>
          <w:szCs w:val="20"/>
        </w:rPr>
        <w:br/>
      </w:r>
      <w:proofErr w:type="spellStart"/>
      <w:r w:rsidRPr="00964AD8">
        <w:rPr>
          <w:rFonts w:ascii="Times New Roman" w:eastAsia="Times New Roman" w:hAnsi="Times New Roman" w:cs="Times New Roman"/>
          <w:sz w:val="20"/>
          <w:szCs w:val="20"/>
        </w:rPr>
        <w:t>Bartel</w:t>
      </w:r>
      <w:proofErr w:type="spellEnd"/>
      <w:r w:rsidRPr="00964AD8">
        <w:rPr>
          <w:rFonts w:ascii="Times New Roman" w:eastAsia="Times New Roman" w:hAnsi="Times New Roman" w:cs="Times New Roman"/>
          <w:sz w:val="20"/>
          <w:szCs w:val="20"/>
        </w:rPr>
        <w:t xml:space="preserve">, A. P., Chan, C. W., &amp; Kim, H. (2014, September). </w:t>
      </w:r>
      <w:r w:rsidRPr="00964AD8">
        <w:rPr>
          <w:rFonts w:ascii="Times New Roman,Italic" w:eastAsia="Times New Roman" w:hAnsi="Times New Roman,Italic" w:cs="Times New Roman"/>
          <w:sz w:val="20"/>
          <w:szCs w:val="20"/>
        </w:rPr>
        <w:t xml:space="preserve">Should Hospitals Keep Their Patients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Italic" w:eastAsia="Times New Roman" w:hAnsi="Times New Roman,Italic" w:cs="Times New Roman"/>
          <w:sz w:val="20"/>
          <w:szCs w:val="20"/>
        </w:rPr>
        <w:t xml:space="preserve">Longer? The Role of Inpatient and Outpatient Care in Reducing Readmissions </w:t>
      </w:r>
      <w:r w:rsidRPr="00964AD8">
        <w:rPr>
          <w:rFonts w:ascii="Times New Roman" w:eastAsia="Times New Roman" w:hAnsi="Times New Roman" w:cs="Times New Roman"/>
          <w:sz w:val="20"/>
          <w:szCs w:val="20"/>
        </w:rPr>
        <w:t xml:space="preserve">(Report No. 20499). Retrieved from the National Bureau of Economic Research website: http://nber.org/papers/w20499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proofErr w:type="spellStart"/>
      <w:r w:rsidRPr="00964AD8">
        <w:rPr>
          <w:rFonts w:ascii="Times New Roman" w:eastAsia="Times New Roman" w:hAnsi="Times New Roman" w:cs="Times New Roman"/>
          <w:sz w:val="20"/>
          <w:szCs w:val="20"/>
        </w:rPr>
        <w:t>Bodenheimer</w:t>
      </w:r>
      <w:proofErr w:type="spellEnd"/>
      <w:r w:rsidRPr="00964AD8">
        <w:rPr>
          <w:rFonts w:ascii="Times New Roman" w:eastAsia="Times New Roman" w:hAnsi="Times New Roman" w:cs="Times New Roman"/>
          <w:sz w:val="20"/>
          <w:szCs w:val="20"/>
        </w:rPr>
        <w:t xml:space="preserve">, T., &amp; </w:t>
      </w:r>
      <w:proofErr w:type="spellStart"/>
      <w:r w:rsidRPr="00964AD8">
        <w:rPr>
          <w:rFonts w:ascii="Times New Roman" w:eastAsia="Times New Roman" w:hAnsi="Times New Roman" w:cs="Times New Roman"/>
          <w:sz w:val="20"/>
          <w:szCs w:val="20"/>
        </w:rPr>
        <w:t>Sinsky</w:t>
      </w:r>
      <w:proofErr w:type="spellEnd"/>
      <w:r w:rsidRPr="00964AD8">
        <w:rPr>
          <w:rFonts w:ascii="Times New Roman" w:eastAsia="Times New Roman" w:hAnsi="Times New Roman" w:cs="Times New Roman"/>
          <w:sz w:val="20"/>
          <w:szCs w:val="20"/>
        </w:rPr>
        <w:t xml:space="preserve">, C. (2014). From triple to quadruple aim: Care of the patient requires care of the provider. </w:t>
      </w:r>
      <w:r w:rsidRPr="00964AD8">
        <w:rPr>
          <w:rFonts w:ascii="Times New Roman,Italic" w:eastAsia="Times New Roman" w:hAnsi="Times New Roman,Italic" w:cs="Times New Roman"/>
          <w:sz w:val="20"/>
          <w:szCs w:val="20"/>
        </w:rPr>
        <w:t>Annals of Family Medicine</w:t>
      </w:r>
      <w:r w:rsidRPr="00964AD8">
        <w:rPr>
          <w:rFonts w:ascii="Times New Roman" w:eastAsia="Times New Roman" w:hAnsi="Times New Roman" w:cs="Times New Roman"/>
          <w:sz w:val="20"/>
          <w:szCs w:val="20"/>
        </w:rPr>
        <w:t xml:space="preserve">, </w:t>
      </w:r>
      <w:r w:rsidRPr="00964AD8">
        <w:rPr>
          <w:rFonts w:ascii="Times New Roman,Italic" w:eastAsia="Times New Roman" w:hAnsi="Times New Roman,Italic" w:cs="Times New Roman"/>
          <w:sz w:val="20"/>
          <w:szCs w:val="20"/>
        </w:rPr>
        <w:t>12</w:t>
      </w:r>
      <w:r w:rsidRPr="00964AD8">
        <w:rPr>
          <w:rFonts w:ascii="Times New Roman" w:eastAsia="Times New Roman" w:hAnsi="Times New Roman" w:cs="Times New Roman"/>
          <w:sz w:val="20"/>
          <w:szCs w:val="20"/>
        </w:rPr>
        <w:t xml:space="preserve">(6), 573–576. Retrieved from https://ncbi.nlm.nih.gov/pmc/articles/PMC4226781/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Huber, D. L. (2017). </w:t>
      </w:r>
      <w:r w:rsidRPr="00964AD8">
        <w:rPr>
          <w:rFonts w:ascii="Times New Roman,Italic" w:eastAsia="Times New Roman" w:hAnsi="Times New Roman,Italic" w:cs="Times New Roman"/>
          <w:sz w:val="20"/>
          <w:szCs w:val="20"/>
        </w:rPr>
        <w:t xml:space="preserve">Leadership and nursing care management </w:t>
      </w:r>
      <w:r w:rsidRPr="00964AD8">
        <w:rPr>
          <w:rFonts w:ascii="Times New Roman" w:eastAsia="Times New Roman" w:hAnsi="Times New Roman" w:cs="Times New Roman"/>
          <w:sz w:val="20"/>
          <w:szCs w:val="20"/>
        </w:rPr>
        <w:t xml:space="preserve">(6th ed.) Philadelphia: W.B. Saunders. http://dx.doi.org/10.7748/nm.21.6.13.s14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proofErr w:type="spellStart"/>
      <w:r w:rsidRPr="00964AD8">
        <w:rPr>
          <w:rFonts w:ascii="Times New Roman" w:eastAsia="Times New Roman" w:hAnsi="Times New Roman" w:cs="Times New Roman"/>
          <w:sz w:val="20"/>
          <w:szCs w:val="20"/>
        </w:rPr>
        <w:t>Kirkner</w:t>
      </w:r>
      <w:proofErr w:type="spellEnd"/>
      <w:r w:rsidRPr="00964AD8">
        <w:rPr>
          <w:rFonts w:ascii="Times New Roman" w:eastAsia="Times New Roman" w:hAnsi="Times New Roman" w:cs="Times New Roman"/>
          <w:sz w:val="20"/>
          <w:szCs w:val="20"/>
        </w:rPr>
        <w:t xml:space="preserve">, R. M., (2017, May 7). Postop pain may be a predictor for readmission. </w:t>
      </w:r>
      <w:r w:rsidRPr="00964AD8">
        <w:rPr>
          <w:rFonts w:ascii="Times New Roman,Italic" w:eastAsia="Times New Roman" w:hAnsi="Times New Roman,Italic" w:cs="Times New Roman"/>
          <w:sz w:val="20"/>
          <w:szCs w:val="20"/>
        </w:rPr>
        <w:t>ACS Surgery News</w:t>
      </w:r>
      <w:r w:rsidRPr="00964AD8">
        <w:rPr>
          <w:rFonts w:ascii="Times New Roman" w:eastAsia="Times New Roman" w:hAnsi="Times New Roman" w:cs="Times New Roman"/>
          <w:sz w:val="20"/>
          <w:szCs w:val="20"/>
        </w:rPr>
        <w:t xml:space="preserve">. Retrieved from http://mdedge.com/acssurgerynews/article/137637/pain/postop- pain-may-be-predictor-readmission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proofErr w:type="spellStart"/>
      <w:r w:rsidRPr="00964AD8">
        <w:rPr>
          <w:rFonts w:ascii="Times New Roman" w:eastAsia="Times New Roman" w:hAnsi="Times New Roman" w:cs="Times New Roman"/>
          <w:sz w:val="20"/>
          <w:szCs w:val="20"/>
        </w:rPr>
        <w:t>Lyder</w:t>
      </w:r>
      <w:proofErr w:type="spellEnd"/>
      <w:r w:rsidRPr="00964AD8">
        <w:rPr>
          <w:rFonts w:ascii="Times New Roman" w:eastAsia="Times New Roman" w:hAnsi="Times New Roman" w:cs="Times New Roman"/>
          <w:sz w:val="20"/>
          <w:szCs w:val="20"/>
        </w:rPr>
        <w:t xml:space="preserve">, C. H., Wang, Y., </w:t>
      </w:r>
      <w:proofErr w:type="spellStart"/>
      <w:r w:rsidRPr="00964AD8">
        <w:rPr>
          <w:rFonts w:ascii="Times New Roman" w:eastAsia="Times New Roman" w:hAnsi="Times New Roman" w:cs="Times New Roman"/>
          <w:sz w:val="20"/>
          <w:szCs w:val="20"/>
        </w:rPr>
        <w:t>Metersky</w:t>
      </w:r>
      <w:proofErr w:type="spellEnd"/>
      <w:r w:rsidRPr="00964AD8">
        <w:rPr>
          <w:rFonts w:ascii="Times New Roman" w:eastAsia="Times New Roman" w:hAnsi="Times New Roman" w:cs="Times New Roman"/>
          <w:sz w:val="20"/>
          <w:szCs w:val="20"/>
        </w:rPr>
        <w:t xml:space="preserve">, M., Curry, M., </w:t>
      </w:r>
      <w:proofErr w:type="spellStart"/>
      <w:r w:rsidRPr="00964AD8">
        <w:rPr>
          <w:rFonts w:ascii="Times New Roman" w:eastAsia="Times New Roman" w:hAnsi="Times New Roman" w:cs="Times New Roman"/>
          <w:sz w:val="20"/>
          <w:szCs w:val="20"/>
        </w:rPr>
        <w:t>Kliman</w:t>
      </w:r>
      <w:proofErr w:type="spellEnd"/>
      <w:r w:rsidRPr="00964AD8">
        <w:rPr>
          <w:rFonts w:ascii="Times New Roman" w:eastAsia="Times New Roman" w:hAnsi="Times New Roman" w:cs="Times New Roman"/>
          <w:sz w:val="20"/>
          <w:szCs w:val="20"/>
        </w:rPr>
        <w:t xml:space="preserve">, R., </w:t>
      </w:r>
      <w:proofErr w:type="spellStart"/>
      <w:r w:rsidRPr="00964AD8">
        <w:rPr>
          <w:rFonts w:ascii="Times New Roman" w:eastAsia="Times New Roman" w:hAnsi="Times New Roman" w:cs="Times New Roman"/>
          <w:sz w:val="20"/>
          <w:szCs w:val="20"/>
        </w:rPr>
        <w:t>Verzier</w:t>
      </w:r>
      <w:proofErr w:type="spellEnd"/>
      <w:r w:rsidRPr="00964AD8">
        <w:rPr>
          <w:rFonts w:ascii="Times New Roman" w:eastAsia="Times New Roman" w:hAnsi="Times New Roman" w:cs="Times New Roman"/>
          <w:sz w:val="20"/>
          <w:szCs w:val="20"/>
        </w:rPr>
        <w:t xml:space="preserve">, N. R., &amp; Hunt, R. H.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(2012). Hospital</w:t>
      </w:r>
      <w:r w:rsidRPr="00964AD8">
        <w:rPr>
          <w:rFonts w:ascii="Cambria Math" w:eastAsia="Times New Roman" w:hAnsi="Cambria Math" w:cs="Times New Roman"/>
          <w:sz w:val="20"/>
          <w:szCs w:val="20"/>
        </w:rPr>
        <w:t>‐</w:t>
      </w:r>
      <w:r w:rsidRPr="00964AD8">
        <w:rPr>
          <w:rFonts w:ascii="Times New Roman" w:eastAsia="Times New Roman" w:hAnsi="Times New Roman" w:cs="Times New Roman"/>
          <w:sz w:val="20"/>
          <w:szCs w:val="20"/>
        </w:rPr>
        <w:t xml:space="preserve">acquired pressure ulcers: Results from the national Medicare patient safety monitoring system study. </w:t>
      </w:r>
      <w:r w:rsidRPr="00964AD8">
        <w:rPr>
          <w:rFonts w:ascii="Times New Roman,Italic" w:eastAsia="Times New Roman" w:hAnsi="Times New Roman,Italic" w:cs="Times New Roman"/>
          <w:sz w:val="20"/>
          <w:szCs w:val="20"/>
        </w:rPr>
        <w:t>Journal of the American Geriatrics Society</w:t>
      </w:r>
      <w:r w:rsidRPr="00964AD8">
        <w:rPr>
          <w:rFonts w:ascii="Times New Roman" w:eastAsia="Times New Roman" w:hAnsi="Times New Roman" w:cs="Times New Roman"/>
          <w:sz w:val="20"/>
          <w:szCs w:val="20"/>
        </w:rPr>
        <w:t xml:space="preserve">, </w:t>
      </w:r>
      <w:r w:rsidRPr="00964AD8">
        <w:rPr>
          <w:rFonts w:ascii="Times New Roman,Italic" w:eastAsia="Times New Roman" w:hAnsi="Times New Roman,Italic" w:cs="Times New Roman"/>
          <w:sz w:val="20"/>
          <w:szCs w:val="20"/>
        </w:rPr>
        <w:t>60</w:t>
      </w:r>
      <w:r w:rsidRPr="00964AD8">
        <w:rPr>
          <w:rFonts w:ascii="Times New Roman" w:eastAsia="Times New Roman" w:hAnsi="Times New Roman" w:cs="Times New Roman"/>
          <w:sz w:val="20"/>
          <w:szCs w:val="20"/>
        </w:rPr>
        <w:t xml:space="preserve">(9), 1603– 1608. Retrieved from http://henlearner.org/wp-content/uploads/2012/03/hospital- acquired-pressure-ulcers.pdf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Smith-Trudeau, P. (2016). Nursing leadership at all levels: The art of self-leadership. </w:t>
      </w:r>
      <w:r w:rsidRPr="00964AD8">
        <w:rPr>
          <w:rFonts w:ascii="Times New Roman,Italic" w:eastAsia="Times New Roman" w:hAnsi="Times New Roman,Italic" w:cs="Times New Roman"/>
          <w:sz w:val="20"/>
          <w:szCs w:val="20"/>
        </w:rPr>
        <w:t>Vermont Nurse Connection</w:t>
      </w:r>
      <w:r w:rsidRPr="00964AD8">
        <w:rPr>
          <w:rFonts w:ascii="Times New Roman" w:eastAsia="Times New Roman" w:hAnsi="Times New Roman" w:cs="Times New Roman"/>
          <w:sz w:val="20"/>
          <w:szCs w:val="20"/>
        </w:rPr>
        <w:t xml:space="preserve">, </w:t>
      </w:r>
      <w:r w:rsidRPr="00964AD8">
        <w:rPr>
          <w:rFonts w:ascii="Times New Roman,Italic" w:eastAsia="Times New Roman" w:hAnsi="Times New Roman,Italic" w:cs="Times New Roman"/>
          <w:sz w:val="20"/>
          <w:szCs w:val="20"/>
        </w:rPr>
        <w:t>19</w:t>
      </w:r>
      <w:r w:rsidRPr="00964AD8">
        <w:rPr>
          <w:rFonts w:ascii="Times New Roman" w:eastAsia="Times New Roman" w:hAnsi="Times New Roman" w:cs="Times New Roman"/>
          <w:sz w:val="20"/>
          <w:szCs w:val="20"/>
        </w:rPr>
        <w:t xml:space="preserve">(4) 4–5. Retrieved from </w:t>
      </w:r>
    </w:p>
    <w:p w:rsidR="00964AD8" w:rsidRDefault="00964AD8" w:rsidP="00964AD8">
      <w:pPr>
        <w:spacing w:before="100" w:beforeAutospacing="1" w:after="100" w:afterAutospacing="1" w:line="480" w:lineRule="auto"/>
        <w:rPr>
          <w:rFonts w:ascii="Times New Roman" w:eastAsia="Times New Roman" w:hAnsi="Times New Roman" w:cs="Times New Roman"/>
          <w:sz w:val="20"/>
          <w:szCs w:val="20"/>
        </w:rPr>
      </w:pP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QUALITY IMPROVEMENT INITIATIVE PROPOSAL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12</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http://web.a.ebscohost.com.library.capella.edu/ehost/pdfviewer/pdfviewer?vid=1&amp;sid=63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1c6937-3dbc-466d-ba31-b5e5aec17013%40sessionmgr4010</w:t>
      </w:r>
      <w:r w:rsidRPr="00964AD8">
        <w:rPr>
          <w:rFonts w:ascii="Times New Roman" w:eastAsia="Times New Roman" w:hAnsi="Times New Roman" w:cs="Times New Roman"/>
          <w:sz w:val="20"/>
          <w:szCs w:val="20"/>
        </w:rPr>
        <w:br/>
      </w:r>
      <w:proofErr w:type="spellStart"/>
      <w:r w:rsidRPr="00964AD8">
        <w:rPr>
          <w:rFonts w:ascii="Times New Roman" w:eastAsia="Times New Roman" w:hAnsi="Times New Roman" w:cs="Times New Roman"/>
          <w:sz w:val="20"/>
          <w:szCs w:val="20"/>
        </w:rPr>
        <w:t>Stalpers</w:t>
      </w:r>
      <w:proofErr w:type="spellEnd"/>
      <w:r w:rsidRPr="00964AD8">
        <w:rPr>
          <w:rFonts w:ascii="Times New Roman" w:eastAsia="Times New Roman" w:hAnsi="Times New Roman" w:cs="Times New Roman"/>
          <w:sz w:val="20"/>
          <w:szCs w:val="20"/>
        </w:rPr>
        <w:t xml:space="preserve">, D., de Brouwer, B. J. M., </w:t>
      </w:r>
      <w:proofErr w:type="spellStart"/>
      <w:r w:rsidRPr="00964AD8">
        <w:rPr>
          <w:rFonts w:ascii="Times New Roman" w:eastAsia="Times New Roman" w:hAnsi="Times New Roman" w:cs="Times New Roman"/>
          <w:sz w:val="20"/>
          <w:szCs w:val="20"/>
        </w:rPr>
        <w:t>Kaljouw</w:t>
      </w:r>
      <w:proofErr w:type="spellEnd"/>
      <w:r w:rsidRPr="00964AD8">
        <w:rPr>
          <w:rFonts w:ascii="Times New Roman" w:eastAsia="Times New Roman" w:hAnsi="Times New Roman" w:cs="Times New Roman"/>
          <w:sz w:val="20"/>
          <w:szCs w:val="20"/>
        </w:rPr>
        <w:t xml:space="preserve">, M. J., &amp; </w:t>
      </w:r>
      <w:proofErr w:type="spellStart"/>
      <w:r w:rsidRPr="00964AD8">
        <w:rPr>
          <w:rFonts w:ascii="Times New Roman" w:eastAsia="Times New Roman" w:hAnsi="Times New Roman" w:cs="Times New Roman"/>
          <w:sz w:val="20"/>
          <w:szCs w:val="20"/>
        </w:rPr>
        <w:t>Schuurmans</w:t>
      </w:r>
      <w:proofErr w:type="spellEnd"/>
      <w:r w:rsidRPr="00964AD8">
        <w:rPr>
          <w:rFonts w:ascii="Times New Roman" w:eastAsia="Times New Roman" w:hAnsi="Times New Roman" w:cs="Times New Roman"/>
          <w:sz w:val="20"/>
          <w:szCs w:val="20"/>
        </w:rPr>
        <w:t xml:space="preserve">, M. J. (2015). Associations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between characteristics of the nurse work environment and five nurse-sensitive patient outcomes in hospitals: A systematic review of literature. </w:t>
      </w:r>
      <w:r w:rsidRPr="00964AD8">
        <w:rPr>
          <w:rFonts w:ascii="Times New Roman,Italic" w:eastAsia="Times New Roman" w:hAnsi="Times New Roman,Italic" w:cs="Times New Roman"/>
          <w:sz w:val="20"/>
          <w:szCs w:val="20"/>
        </w:rPr>
        <w:t>International Journal of Nursing Studies, 52</w:t>
      </w:r>
      <w:r w:rsidRPr="00964AD8">
        <w:rPr>
          <w:rFonts w:ascii="Times New Roman" w:eastAsia="Times New Roman" w:hAnsi="Times New Roman" w:cs="Times New Roman"/>
          <w:sz w:val="20"/>
          <w:szCs w:val="20"/>
        </w:rPr>
        <w:t xml:space="preserve">(4), 817–835. Retrieved from http://sciencedirect.com.library.capella.edu/science/article/pii/S0020748915000061?_rdo c=1&amp;_fmt=high&amp;_origin=gateway&amp;_docanchor=&amp;md5=b8429449ccfc9c30159a5f9aeaa 92ffb&amp;ccp=y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Thomas, C. D. (2016). </w:t>
      </w:r>
      <w:r w:rsidRPr="00964AD8">
        <w:rPr>
          <w:rFonts w:ascii="Times New Roman,Italic" w:eastAsia="Times New Roman" w:hAnsi="Times New Roman,Italic" w:cs="Times New Roman"/>
          <w:sz w:val="20"/>
          <w:szCs w:val="20"/>
        </w:rPr>
        <w:t xml:space="preserve">Transformational leadership as a means of improving patient care and nursing retention </w:t>
      </w:r>
      <w:r w:rsidRPr="00964AD8">
        <w:rPr>
          <w:rFonts w:ascii="Times New Roman" w:eastAsia="Times New Roman" w:hAnsi="Times New Roman" w:cs="Times New Roman"/>
          <w:sz w:val="20"/>
          <w:szCs w:val="20"/>
        </w:rPr>
        <w:t xml:space="preserve">(Doctoral dissertation). Retrieved from ProQuest. (Order No. 10125747).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Wong, C. A. (2015). Connecting nursing leadership and patient outcomes: State of the science. </w:t>
      </w:r>
      <w:r w:rsidRPr="00964AD8">
        <w:rPr>
          <w:rFonts w:ascii="Times New Roman,Italic" w:eastAsia="Times New Roman" w:hAnsi="Times New Roman,Italic" w:cs="Times New Roman"/>
          <w:sz w:val="20"/>
          <w:szCs w:val="20"/>
        </w:rPr>
        <w:t>Journal of Nursing Management, 23</w:t>
      </w:r>
      <w:r w:rsidRPr="00964AD8">
        <w:rPr>
          <w:rFonts w:ascii="Times New Roman" w:eastAsia="Times New Roman" w:hAnsi="Times New Roman" w:cs="Times New Roman"/>
          <w:sz w:val="20"/>
          <w:szCs w:val="20"/>
        </w:rPr>
        <w:t>(3), 275–278. Retrieved from http://onlinelibrary.wiley.com.library.capella.edu/doi/10.1111/jonm.12307/full</w:t>
      </w:r>
      <w:r w:rsidRPr="00964AD8">
        <w:rPr>
          <w:rFonts w:ascii="Calibri" w:eastAsia="Times New Roman" w:hAnsi="Calibri" w:cs="Calibri"/>
          <w:sz w:val="18"/>
          <w:szCs w:val="18"/>
        </w:rPr>
        <w:t xml:space="preserve">.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Appendix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Italic" w:eastAsia="Times New Roman" w:hAnsi="Times New Roman,Italic" w:cs="Times New Roman"/>
          <w:sz w:val="20"/>
          <w:szCs w:val="20"/>
        </w:rPr>
        <w:t xml:space="preserve">Description of Quality and Safety Report 2015–2016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The Quality and Safety Report data for the year 2015–2016 represents four recognized quality indicators in health care. The calculations are based on the total number of adverse events and issues, differentiated by type, documented in TGH’s surgical units for 2015–2016. The length of stay is calculated for patients who are admitted for more than 7 days. Patient readmissions describe revisits by former surgical patients to the emergency department or surgical units within 30 days of their discharge. The revisiting patients may sometimes require additional hospital stay, which might be related to their surgical procedures.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lastRenderedPageBreak/>
        <w:t xml:space="preserve">QUALITY IMPROVEMENT INITIATIVE PROPOSAL </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13</w:t>
      </w:r>
      <w:bookmarkStart w:id="0" w:name="_GoBack"/>
      <w:bookmarkEnd w:id="0"/>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r w:rsidRPr="00964AD8">
        <w:rPr>
          <w:rFonts w:ascii="Times New Roman" w:eastAsia="Times New Roman" w:hAnsi="Times New Roman" w:cs="Times New Roman"/>
          <w:sz w:val="20"/>
          <w:szCs w:val="20"/>
        </w:rPr>
        <w:t xml:space="preserve">The third indicator is based on medical pain where pain is rated on a scale of one to 10— one being the mildest pain and 10 the most severe. TGH chose numbers between 7 and 10 on the scale because a pain level between 7 and 10 that lasts for more than 24 hours is considered a patient safety issue. The final indicator denotes pressure ulcers, which are injuries caused to skin tissue resulting from prolonged pressure on the area. Patients bed-ridden after medical procedures are at high-risk of pressure ulcers. The ideal benchmark for each indicator is zero, which means that the goal of TGH is to prevent extended stays, readmissions, prolonged pain without relief, and pressure ulcers in surgical patients. </w:t>
      </w:r>
    </w:p>
    <w:p w:rsidR="00964AD8" w:rsidRPr="00964AD8" w:rsidRDefault="00964AD8" w:rsidP="00964AD8">
      <w:pPr>
        <w:spacing w:before="100" w:beforeAutospacing="1" w:after="100" w:afterAutospacing="1" w:line="480" w:lineRule="auto"/>
        <w:rPr>
          <w:rFonts w:ascii="Times New Roman" w:eastAsia="Times New Roman" w:hAnsi="Times New Roman" w:cs="Times New Roman"/>
        </w:rPr>
      </w:pPr>
    </w:p>
    <w:p w:rsidR="00B10868" w:rsidRDefault="00B10868" w:rsidP="00964AD8">
      <w:pPr>
        <w:spacing w:line="480" w:lineRule="auto"/>
      </w:pPr>
    </w:p>
    <w:sectPr w:rsidR="00B10868" w:rsidSect="00DC06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ewRomanPSMT">
    <w:altName w:val="Times New Roman"/>
    <w:panose1 w:val="02020603050405020304"/>
    <w:charset w:val="00"/>
    <w:family w:val="roman"/>
    <w:notTrueType/>
    <w:pitch w:val="default"/>
  </w:font>
  <w:font w:name="Times New Roman,Bold">
    <w:altName w:val="Times New Roman"/>
    <w:panose1 w:val="00000800000000020000"/>
    <w:charset w:val="00"/>
    <w:family w:val="roman"/>
    <w:notTrueType/>
    <w:pitch w:val="default"/>
  </w:font>
  <w:font w:name="Times New Roman,Italic">
    <w:altName w:val="Times New Roman"/>
    <w:panose1 w:val="00000500000000090000"/>
    <w:charset w:val="00"/>
    <w:family w:val="roman"/>
    <w:notTrueType/>
    <w:pitch w:val="default"/>
  </w:font>
  <w:font w:name="TimesNewRomanPS">
    <w:altName w:val="Times New Roman"/>
    <w:panose1 w:val="020B0604020202020204"/>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7C62E8"/>
    <w:multiLevelType w:val="multilevel"/>
    <w:tmpl w:val="2E3AF7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AD8"/>
    <w:rsid w:val="00964AD8"/>
    <w:rsid w:val="00B10868"/>
    <w:rsid w:val="00DC0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B44E00"/>
  <w15:chartTrackingRefBased/>
  <w15:docId w15:val="{194C2FFA-447D-074F-B3E9-4DDC2CB31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4AD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057744">
      <w:bodyDiv w:val="1"/>
      <w:marLeft w:val="0"/>
      <w:marRight w:val="0"/>
      <w:marTop w:val="0"/>
      <w:marBottom w:val="0"/>
      <w:divBdr>
        <w:top w:val="none" w:sz="0" w:space="0" w:color="auto"/>
        <w:left w:val="none" w:sz="0" w:space="0" w:color="auto"/>
        <w:bottom w:val="none" w:sz="0" w:space="0" w:color="auto"/>
        <w:right w:val="none" w:sz="0" w:space="0" w:color="auto"/>
      </w:divBdr>
      <w:divsChild>
        <w:div w:id="637296599">
          <w:marLeft w:val="0"/>
          <w:marRight w:val="0"/>
          <w:marTop w:val="0"/>
          <w:marBottom w:val="0"/>
          <w:divBdr>
            <w:top w:val="none" w:sz="0" w:space="0" w:color="auto"/>
            <w:left w:val="none" w:sz="0" w:space="0" w:color="auto"/>
            <w:bottom w:val="none" w:sz="0" w:space="0" w:color="auto"/>
            <w:right w:val="none" w:sz="0" w:space="0" w:color="auto"/>
          </w:divBdr>
          <w:divsChild>
            <w:div w:id="1589535361">
              <w:marLeft w:val="0"/>
              <w:marRight w:val="0"/>
              <w:marTop w:val="0"/>
              <w:marBottom w:val="0"/>
              <w:divBdr>
                <w:top w:val="none" w:sz="0" w:space="0" w:color="auto"/>
                <w:left w:val="none" w:sz="0" w:space="0" w:color="auto"/>
                <w:bottom w:val="none" w:sz="0" w:space="0" w:color="auto"/>
                <w:right w:val="none" w:sz="0" w:space="0" w:color="auto"/>
              </w:divBdr>
              <w:divsChild>
                <w:div w:id="442313023">
                  <w:marLeft w:val="0"/>
                  <w:marRight w:val="0"/>
                  <w:marTop w:val="0"/>
                  <w:marBottom w:val="0"/>
                  <w:divBdr>
                    <w:top w:val="none" w:sz="0" w:space="0" w:color="auto"/>
                    <w:left w:val="none" w:sz="0" w:space="0" w:color="auto"/>
                    <w:bottom w:val="none" w:sz="0" w:space="0" w:color="auto"/>
                    <w:right w:val="none" w:sz="0" w:space="0" w:color="auto"/>
                  </w:divBdr>
                  <w:divsChild>
                    <w:div w:id="1718429140">
                      <w:marLeft w:val="0"/>
                      <w:marRight w:val="0"/>
                      <w:marTop w:val="0"/>
                      <w:marBottom w:val="0"/>
                      <w:divBdr>
                        <w:top w:val="none" w:sz="0" w:space="0" w:color="auto"/>
                        <w:left w:val="none" w:sz="0" w:space="0" w:color="auto"/>
                        <w:bottom w:val="none" w:sz="0" w:space="0" w:color="auto"/>
                        <w:right w:val="none" w:sz="0" w:space="0" w:color="auto"/>
                      </w:divBdr>
                      <w:divsChild>
                        <w:div w:id="1723476354">
                          <w:marLeft w:val="0"/>
                          <w:marRight w:val="0"/>
                          <w:marTop w:val="0"/>
                          <w:marBottom w:val="0"/>
                          <w:divBdr>
                            <w:top w:val="none" w:sz="0" w:space="0" w:color="auto"/>
                            <w:left w:val="none" w:sz="0" w:space="0" w:color="auto"/>
                            <w:bottom w:val="none" w:sz="0" w:space="0" w:color="auto"/>
                            <w:right w:val="none" w:sz="0" w:space="0" w:color="auto"/>
                          </w:divBdr>
                        </w:div>
                      </w:divsChild>
                    </w:div>
                    <w:div w:id="1513372336">
                      <w:marLeft w:val="0"/>
                      <w:marRight w:val="0"/>
                      <w:marTop w:val="0"/>
                      <w:marBottom w:val="0"/>
                      <w:divBdr>
                        <w:top w:val="none" w:sz="0" w:space="0" w:color="auto"/>
                        <w:left w:val="none" w:sz="0" w:space="0" w:color="auto"/>
                        <w:bottom w:val="none" w:sz="0" w:space="0" w:color="auto"/>
                        <w:right w:val="none" w:sz="0" w:space="0" w:color="auto"/>
                      </w:divBdr>
                      <w:divsChild>
                        <w:div w:id="133630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8639">
                  <w:marLeft w:val="0"/>
                  <w:marRight w:val="0"/>
                  <w:marTop w:val="0"/>
                  <w:marBottom w:val="0"/>
                  <w:divBdr>
                    <w:top w:val="none" w:sz="0" w:space="0" w:color="auto"/>
                    <w:left w:val="none" w:sz="0" w:space="0" w:color="auto"/>
                    <w:bottom w:val="none" w:sz="0" w:space="0" w:color="auto"/>
                    <w:right w:val="none" w:sz="0" w:space="0" w:color="auto"/>
                  </w:divBdr>
                  <w:divsChild>
                    <w:div w:id="1521353214">
                      <w:marLeft w:val="0"/>
                      <w:marRight w:val="0"/>
                      <w:marTop w:val="0"/>
                      <w:marBottom w:val="0"/>
                      <w:divBdr>
                        <w:top w:val="none" w:sz="0" w:space="0" w:color="auto"/>
                        <w:left w:val="none" w:sz="0" w:space="0" w:color="auto"/>
                        <w:bottom w:val="none" w:sz="0" w:space="0" w:color="auto"/>
                        <w:right w:val="none" w:sz="0" w:space="0" w:color="auto"/>
                      </w:divBdr>
                      <w:divsChild>
                        <w:div w:id="177039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25318">
                  <w:marLeft w:val="0"/>
                  <w:marRight w:val="0"/>
                  <w:marTop w:val="0"/>
                  <w:marBottom w:val="0"/>
                  <w:divBdr>
                    <w:top w:val="none" w:sz="0" w:space="0" w:color="auto"/>
                    <w:left w:val="none" w:sz="0" w:space="0" w:color="auto"/>
                    <w:bottom w:val="none" w:sz="0" w:space="0" w:color="auto"/>
                    <w:right w:val="none" w:sz="0" w:space="0" w:color="auto"/>
                  </w:divBdr>
                  <w:divsChild>
                    <w:div w:id="2019236138">
                      <w:marLeft w:val="0"/>
                      <w:marRight w:val="0"/>
                      <w:marTop w:val="0"/>
                      <w:marBottom w:val="0"/>
                      <w:divBdr>
                        <w:top w:val="none" w:sz="0" w:space="0" w:color="auto"/>
                        <w:left w:val="none" w:sz="0" w:space="0" w:color="auto"/>
                        <w:bottom w:val="none" w:sz="0" w:space="0" w:color="auto"/>
                        <w:right w:val="none" w:sz="0" w:space="0" w:color="auto"/>
                      </w:divBdr>
                      <w:divsChild>
                        <w:div w:id="168146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204217">
          <w:marLeft w:val="0"/>
          <w:marRight w:val="0"/>
          <w:marTop w:val="0"/>
          <w:marBottom w:val="0"/>
          <w:divBdr>
            <w:top w:val="none" w:sz="0" w:space="0" w:color="auto"/>
            <w:left w:val="none" w:sz="0" w:space="0" w:color="auto"/>
            <w:bottom w:val="none" w:sz="0" w:space="0" w:color="auto"/>
            <w:right w:val="none" w:sz="0" w:space="0" w:color="auto"/>
          </w:divBdr>
          <w:divsChild>
            <w:div w:id="1340964450">
              <w:marLeft w:val="0"/>
              <w:marRight w:val="0"/>
              <w:marTop w:val="0"/>
              <w:marBottom w:val="0"/>
              <w:divBdr>
                <w:top w:val="none" w:sz="0" w:space="0" w:color="auto"/>
                <w:left w:val="none" w:sz="0" w:space="0" w:color="auto"/>
                <w:bottom w:val="none" w:sz="0" w:space="0" w:color="auto"/>
                <w:right w:val="none" w:sz="0" w:space="0" w:color="auto"/>
              </w:divBdr>
              <w:divsChild>
                <w:div w:id="152891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32630">
          <w:marLeft w:val="0"/>
          <w:marRight w:val="0"/>
          <w:marTop w:val="0"/>
          <w:marBottom w:val="0"/>
          <w:divBdr>
            <w:top w:val="none" w:sz="0" w:space="0" w:color="auto"/>
            <w:left w:val="none" w:sz="0" w:space="0" w:color="auto"/>
            <w:bottom w:val="none" w:sz="0" w:space="0" w:color="auto"/>
            <w:right w:val="none" w:sz="0" w:space="0" w:color="auto"/>
          </w:divBdr>
          <w:divsChild>
            <w:div w:id="1390618261">
              <w:marLeft w:val="0"/>
              <w:marRight w:val="0"/>
              <w:marTop w:val="0"/>
              <w:marBottom w:val="0"/>
              <w:divBdr>
                <w:top w:val="none" w:sz="0" w:space="0" w:color="auto"/>
                <w:left w:val="none" w:sz="0" w:space="0" w:color="auto"/>
                <w:bottom w:val="none" w:sz="0" w:space="0" w:color="auto"/>
                <w:right w:val="none" w:sz="0" w:space="0" w:color="auto"/>
              </w:divBdr>
              <w:divsChild>
                <w:div w:id="2097168587">
                  <w:marLeft w:val="0"/>
                  <w:marRight w:val="0"/>
                  <w:marTop w:val="0"/>
                  <w:marBottom w:val="0"/>
                  <w:divBdr>
                    <w:top w:val="none" w:sz="0" w:space="0" w:color="auto"/>
                    <w:left w:val="none" w:sz="0" w:space="0" w:color="auto"/>
                    <w:bottom w:val="none" w:sz="0" w:space="0" w:color="auto"/>
                    <w:right w:val="none" w:sz="0" w:space="0" w:color="auto"/>
                  </w:divBdr>
                </w:div>
              </w:divsChild>
            </w:div>
            <w:div w:id="1431655271">
              <w:marLeft w:val="0"/>
              <w:marRight w:val="0"/>
              <w:marTop w:val="0"/>
              <w:marBottom w:val="0"/>
              <w:divBdr>
                <w:top w:val="none" w:sz="0" w:space="0" w:color="auto"/>
                <w:left w:val="none" w:sz="0" w:space="0" w:color="auto"/>
                <w:bottom w:val="none" w:sz="0" w:space="0" w:color="auto"/>
                <w:right w:val="none" w:sz="0" w:space="0" w:color="auto"/>
              </w:divBdr>
              <w:divsChild>
                <w:div w:id="1129319170">
                  <w:marLeft w:val="0"/>
                  <w:marRight w:val="0"/>
                  <w:marTop w:val="0"/>
                  <w:marBottom w:val="0"/>
                  <w:divBdr>
                    <w:top w:val="none" w:sz="0" w:space="0" w:color="auto"/>
                    <w:left w:val="none" w:sz="0" w:space="0" w:color="auto"/>
                    <w:bottom w:val="none" w:sz="0" w:space="0" w:color="auto"/>
                    <w:right w:val="none" w:sz="0" w:space="0" w:color="auto"/>
                  </w:divBdr>
                </w:div>
              </w:divsChild>
            </w:div>
            <w:div w:id="1141340800">
              <w:marLeft w:val="0"/>
              <w:marRight w:val="0"/>
              <w:marTop w:val="0"/>
              <w:marBottom w:val="0"/>
              <w:divBdr>
                <w:top w:val="none" w:sz="0" w:space="0" w:color="auto"/>
                <w:left w:val="none" w:sz="0" w:space="0" w:color="auto"/>
                <w:bottom w:val="none" w:sz="0" w:space="0" w:color="auto"/>
                <w:right w:val="none" w:sz="0" w:space="0" w:color="auto"/>
              </w:divBdr>
              <w:divsChild>
                <w:div w:id="1130397588">
                  <w:marLeft w:val="0"/>
                  <w:marRight w:val="0"/>
                  <w:marTop w:val="0"/>
                  <w:marBottom w:val="0"/>
                  <w:divBdr>
                    <w:top w:val="none" w:sz="0" w:space="0" w:color="auto"/>
                    <w:left w:val="none" w:sz="0" w:space="0" w:color="auto"/>
                    <w:bottom w:val="none" w:sz="0" w:space="0" w:color="auto"/>
                    <w:right w:val="none" w:sz="0" w:space="0" w:color="auto"/>
                  </w:divBdr>
                </w:div>
                <w:div w:id="1957711068">
                  <w:marLeft w:val="0"/>
                  <w:marRight w:val="0"/>
                  <w:marTop w:val="0"/>
                  <w:marBottom w:val="0"/>
                  <w:divBdr>
                    <w:top w:val="none" w:sz="0" w:space="0" w:color="auto"/>
                    <w:left w:val="none" w:sz="0" w:space="0" w:color="auto"/>
                    <w:bottom w:val="none" w:sz="0" w:space="0" w:color="auto"/>
                    <w:right w:val="none" w:sz="0" w:space="0" w:color="auto"/>
                  </w:divBdr>
                </w:div>
                <w:div w:id="829251527">
                  <w:marLeft w:val="0"/>
                  <w:marRight w:val="0"/>
                  <w:marTop w:val="0"/>
                  <w:marBottom w:val="0"/>
                  <w:divBdr>
                    <w:top w:val="none" w:sz="0" w:space="0" w:color="auto"/>
                    <w:left w:val="none" w:sz="0" w:space="0" w:color="auto"/>
                    <w:bottom w:val="none" w:sz="0" w:space="0" w:color="auto"/>
                    <w:right w:val="none" w:sz="0" w:space="0" w:color="auto"/>
                  </w:divBdr>
                </w:div>
                <w:div w:id="2143618974">
                  <w:marLeft w:val="0"/>
                  <w:marRight w:val="0"/>
                  <w:marTop w:val="0"/>
                  <w:marBottom w:val="0"/>
                  <w:divBdr>
                    <w:top w:val="none" w:sz="0" w:space="0" w:color="auto"/>
                    <w:left w:val="none" w:sz="0" w:space="0" w:color="auto"/>
                    <w:bottom w:val="none" w:sz="0" w:space="0" w:color="auto"/>
                    <w:right w:val="none" w:sz="0" w:space="0" w:color="auto"/>
                  </w:divBdr>
                </w:div>
              </w:divsChild>
            </w:div>
            <w:div w:id="1700544849">
              <w:marLeft w:val="0"/>
              <w:marRight w:val="0"/>
              <w:marTop w:val="0"/>
              <w:marBottom w:val="0"/>
              <w:divBdr>
                <w:top w:val="none" w:sz="0" w:space="0" w:color="auto"/>
                <w:left w:val="none" w:sz="0" w:space="0" w:color="auto"/>
                <w:bottom w:val="none" w:sz="0" w:space="0" w:color="auto"/>
                <w:right w:val="none" w:sz="0" w:space="0" w:color="auto"/>
              </w:divBdr>
              <w:divsChild>
                <w:div w:id="1101220278">
                  <w:marLeft w:val="0"/>
                  <w:marRight w:val="0"/>
                  <w:marTop w:val="0"/>
                  <w:marBottom w:val="0"/>
                  <w:divBdr>
                    <w:top w:val="none" w:sz="0" w:space="0" w:color="auto"/>
                    <w:left w:val="none" w:sz="0" w:space="0" w:color="auto"/>
                    <w:bottom w:val="none" w:sz="0" w:space="0" w:color="auto"/>
                    <w:right w:val="none" w:sz="0" w:space="0" w:color="auto"/>
                  </w:divBdr>
                </w:div>
                <w:div w:id="1698657844">
                  <w:marLeft w:val="0"/>
                  <w:marRight w:val="0"/>
                  <w:marTop w:val="0"/>
                  <w:marBottom w:val="0"/>
                  <w:divBdr>
                    <w:top w:val="none" w:sz="0" w:space="0" w:color="auto"/>
                    <w:left w:val="none" w:sz="0" w:space="0" w:color="auto"/>
                    <w:bottom w:val="none" w:sz="0" w:space="0" w:color="auto"/>
                    <w:right w:val="none" w:sz="0" w:space="0" w:color="auto"/>
                  </w:divBdr>
                </w:div>
              </w:divsChild>
            </w:div>
            <w:div w:id="1207526547">
              <w:marLeft w:val="0"/>
              <w:marRight w:val="0"/>
              <w:marTop w:val="0"/>
              <w:marBottom w:val="0"/>
              <w:divBdr>
                <w:top w:val="none" w:sz="0" w:space="0" w:color="auto"/>
                <w:left w:val="none" w:sz="0" w:space="0" w:color="auto"/>
                <w:bottom w:val="none" w:sz="0" w:space="0" w:color="auto"/>
                <w:right w:val="none" w:sz="0" w:space="0" w:color="auto"/>
              </w:divBdr>
              <w:divsChild>
                <w:div w:id="153514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324250">
          <w:marLeft w:val="0"/>
          <w:marRight w:val="0"/>
          <w:marTop w:val="0"/>
          <w:marBottom w:val="0"/>
          <w:divBdr>
            <w:top w:val="none" w:sz="0" w:space="0" w:color="auto"/>
            <w:left w:val="none" w:sz="0" w:space="0" w:color="auto"/>
            <w:bottom w:val="none" w:sz="0" w:space="0" w:color="auto"/>
            <w:right w:val="none" w:sz="0" w:space="0" w:color="auto"/>
          </w:divBdr>
          <w:divsChild>
            <w:div w:id="1912962644">
              <w:marLeft w:val="0"/>
              <w:marRight w:val="0"/>
              <w:marTop w:val="0"/>
              <w:marBottom w:val="0"/>
              <w:divBdr>
                <w:top w:val="none" w:sz="0" w:space="0" w:color="auto"/>
                <w:left w:val="none" w:sz="0" w:space="0" w:color="auto"/>
                <w:bottom w:val="none" w:sz="0" w:space="0" w:color="auto"/>
                <w:right w:val="none" w:sz="0" w:space="0" w:color="auto"/>
              </w:divBdr>
              <w:divsChild>
                <w:div w:id="33207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49499">
          <w:marLeft w:val="0"/>
          <w:marRight w:val="0"/>
          <w:marTop w:val="0"/>
          <w:marBottom w:val="0"/>
          <w:divBdr>
            <w:top w:val="none" w:sz="0" w:space="0" w:color="auto"/>
            <w:left w:val="none" w:sz="0" w:space="0" w:color="auto"/>
            <w:bottom w:val="none" w:sz="0" w:space="0" w:color="auto"/>
            <w:right w:val="none" w:sz="0" w:space="0" w:color="auto"/>
          </w:divBdr>
          <w:divsChild>
            <w:div w:id="941454019">
              <w:marLeft w:val="0"/>
              <w:marRight w:val="0"/>
              <w:marTop w:val="0"/>
              <w:marBottom w:val="0"/>
              <w:divBdr>
                <w:top w:val="none" w:sz="0" w:space="0" w:color="auto"/>
                <w:left w:val="none" w:sz="0" w:space="0" w:color="auto"/>
                <w:bottom w:val="none" w:sz="0" w:space="0" w:color="auto"/>
                <w:right w:val="none" w:sz="0" w:space="0" w:color="auto"/>
              </w:divBdr>
              <w:divsChild>
                <w:div w:id="1779830528">
                  <w:marLeft w:val="0"/>
                  <w:marRight w:val="0"/>
                  <w:marTop w:val="0"/>
                  <w:marBottom w:val="0"/>
                  <w:divBdr>
                    <w:top w:val="none" w:sz="0" w:space="0" w:color="auto"/>
                    <w:left w:val="none" w:sz="0" w:space="0" w:color="auto"/>
                    <w:bottom w:val="none" w:sz="0" w:space="0" w:color="auto"/>
                    <w:right w:val="none" w:sz="0" w:space="0" w:color="auto"/>
                  </w:divBdr>
                  <w:divsChild>
                    <w:div w:id="459887231">
                      <w:marLeft w:val="0"/>
                      <w:marRight w:val="0"/>
                      <w:marTop w:val="0"/>
                      <w:marBottom w:val="0"/>
                      <w:divBdr>
                        <w:top w:val="none" w:sz="0" w:space="0" w:color="auto"/>
                        <w:left w:val="none" w:sz="0" w:space="0" w:color="auto"/>
                        <w:bottom w:val="none" w:sz="0" w:space="0" w:color="auto"/>
                        <w:right w:val="none" w:sz="0" w:space="0" w:color="auto"/>
                      </w:divBdr>
                      <w:divsChild>
                        <w:div w:id="339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22118">
                  <w:marLeft w:val="0"/>
                  <w:marRight w:val="0"/>
                  <w:marTop w:val="0"/>
                  <w:marBottom w:val="0"/>
                  <w:divBdr>
                    <w:top w:val="none" w:sz="0" w:space="0" w:color="auto"/>
                    <w:left w:val="none" w:sz="0" w:space="0" w:color="auto"/>
                    <w:bottom w:val="none" w:sz="0" w:space="0" w:color="auto"/>
                    <w:right w:val="none" w:sz="0" w:space="0" w:color="auto"/>
                  </w:divBdr>
                  <w:divsChild>
                    <w:div w:id="1784953977">
                      <w:marLeft w:val="0"/>
                      <w:marRight w:val="0"/>
                      <w:marTop w:val="0"/>
                      <w:marBottom w:val="0"/>
                      <w:divBdr>
                        <w:top w:val="none" w:sz="0" w:space="0" w:color="auto"/>
                        <w:left w:val="none" w:sz="0" w:space="0" w:color="auto"/>
                        <w:bottom w:val="none" w:sz="0" w:space="0" w:color="auto"/>
                        <w:right w:val="none" w:sz="0" w:space="0" w:color="auto"/>
                      </w:divBdr>
                      <w:divsChild>
                        <w:div w:id="5585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13182">
                  <w:marLeft w:val="0"/>
                  <w:marRight w:val="0"/>
                  <w:marTop w:val="0"/>
                  <w:marBottom w:val="0"/>
                  <w:divBdr>
                    <w:top w:val="none" w:sz="0" w:space="0" w:color="auto"/>
                    <w:left w:val="none" w:sz="0" w:space="0" w:color="auto"/>
                    <w:bottom w:val="none" w:sz="0" w:space="0" w:color="auto"/>
                    <w:right w:val="none" w:sz="0" w:space="0" w:color="auto"/>
                  </w:divBdr>
                  <w:divsChild>
                    <w:div w:id="1651441899">
                      <w:marLeft w:val="0"/>
                      <w:marRight w:val="0"/>
                      <w:marTop w:val="0"/>
                      <w:marBottom w:val="0"/>
                      <w:divBdr>
                        <w:top w:val="none" w:sz="0" w:space="0" w:color="auto"/>
                        <w:left w:val="none" w:sz="0" w:space="0" w:color="auto"/>
                        <w:bottom w:val="none" w:sz="0" w:space="0" w:color="auto"/>
                        <w:right w:val="none" w:sz="0" w:space="0" w:color="auto"/>
                      </w:divBdr>
                      <w:divsChild>
                        <w:div w:id="127402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314716">
          <w:marLeft w:val="0"/>
          <w:marRight w:val="0"/>
          <w:marTop w:val="0"/>
          <w:marBottom w:val="0"/>
          <w:divBdr>
            <w:top w:val="none" w:sz="0" w:space="0" w:color="auto"/>
            <w:left w:val="none" w:sz="0" w:space="0" w:color="auto"/>
            <w:bottom w:val="none" w:sz="0" w:space="0" w:color="auto"/>
            <w:right w:val="none" w:sz="0" w:space="0" w:color="auto"/>
          </w:divBdr>
          <w:divsChild>
            <w:div w:id="1610239513">
              <w:marLeft w:val="0"/>
              <w:marRight w:val="0"/>
              <w:marTop w:val="0"/>
              <w:marBottom w:val="0"/>
              <w:divBdr>
                <w:top w:val="none" w:sz="0" w:space="0" w:color="auto"/>
                <w:left w:val="none" w:sz="0" w:space="0" w:color="auto"/>
                <w:bottom w:val="none" w:sz="0" w:space="0" w:color="auto"/>
                <w:right w:val="none" w:sz="0" w:space="0" w:color="auto"/>
              </w:divBdr>
              <w:divsChild>
                <w:div w:id="175153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048209">
          <w:marLeft w:val="0"/>
          <w:marRight w:val="0"/>
          <w:marTop w:val="0"/>
          <w:marBottom w:val="0"/>
          <w:divBdr>
            <w:top w:val="none" w:sz="0" w:space="0" w:color="auto"/>
            <w:left w:val="none" w:sz="0" w:space="0" w:color="auto"/>
            <w:bottom w:val="none" w:sz="0" w:space="0" w:color="auto"/>
            <w:right w:val="none" w:sz="0" w:space="0" w:color="auto"/>
          </w:divBdr>
          <w:divsChild>
            <w:div w:id="840699543">
              <w:marLeft w:val="0"/>
              <w:marRight w:val="0"/>
              <w:marTop w:val="0"/>
              <w:marBottom w:val="0"/>
              <w:divBdr>
                <w:top w:val="none" w:sz="0" w:space="0" w:color="auto"/>
                <w:left w:val="none" w:sz="0" w:space="0" w:color="auto"/>
                <w:bottom w:val="none" w:sz="0" w:space="0" w:color="auto"/>
                <w:right w:val="none" w:sz="0" w:space="0" w:color="auto"/>
              </w:divBdr>
              <w:divsChild>
                <w:div w:id="98751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5845">
          <w:marLeft w:val="0"/>
          <w:marRight w:val="0"/>
          <w:marTop w:val="0"/>
          <w:marBottom w:val="0"/>
          <w:divBdr>
            <w:top w:val="none" w:sz="0" w:space="0" w:color="auto"/>
            <w:left w:val="none" w:sz="0" w:space="0" w:color="auto"/>
            <w:bottom w:val="none" w:sz="0" w:space="0" w:color="auto"/>
            <w:right w:val="none" w:sz="0" w:space="0" w:color="auto"/>
          </w:divBdr>
          <w:divsChild>
            <w:div w:id="674960249">
              <w:marLeft w:val="0"/>
              <w:marRight w:val="0"/>
              <w:marTop w:val="0"/>
              <w:marBottom w:val="0"/>
              <w:divBdr>
                <w:top w:val="none" w:sz="0" w:space="0" w:color="auto"/>
                <w:left w:val="none" w:sz="0" w:space="0" w:color="auto"/>
                <w:bottom w:val="none" w:sz="0" w:space="0" w:color="auto"/>
                <w:right w:val="none" w:sz="0" w:space="0" w:color="auto"/>
              </w:divBdr>
              <w:divsChild>
                <w:div w:id="133595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069674">
          <w:marLeft w:val="0"/>
          <w:marRight w:val="0"/>
          <w:marTop w:val="0"/>
          <w:marBottom w:val="0"/>
          <w:divBdr>
            <w:top w:val="none" w:sz="0" w:space="0" w:color="auto"/>
            <w:left w:val="none" w:sz="0" w:space="0" w:color="auto"/>
            <w:bottom w:val="none" w:sz="0" w:space="0" w:color="auto"/>
            <w:right w:val="none" w:sz="0" w:space="0" w:color="auto"/>
          </w:divBdr>
          <w:divsChild>
            <w:div w:id="1038119308">
              <w:marLeft w:val="0"/>
              <w:marRight w:val="0"/>
              <w:marTop w:val="0"/>
              <w:marBottom w:val="0"/>
              <w:divBdr>
                <w:top w:val="none" w:sz="0" w:space="0" w:color="auto"/>
                <w:left w:val="none" w:sz="0" w:space="0" w:color="auto"/>
                <w:bottom w:val="none" w:sz="0" w:space="0" w:color="auto"/>
                <w:right w:val="none" w:sz="0" w:space="0" w:color="auto"/>
              </w:divBdr>
              <w:divsChild>
                <w:div w:id="21990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653453">
          <w:marLeft w:val="0"/>
          <w:marRight w:val="0"/>
          <w:marTop w:val="0"/>
          <w:marBottom w:val="0"/>
          <w:divBdr>
            <w:top w:val="none" w:sz="0" w:space="0" w:color="auto"/>
            <w:left w:val="none" w:sz="0" w:space="0" w:color="auto"/>
            <w:bottom w:val="none" w:sz="0" w:space="0" w:color="auto"/>
            <w:right w:val="none" w:sz="0" w:space="0" w:color="auto"/>
          </w:divBdr>
          <w:divsChild>
            <w:div w:id="2090731381">
              <w:marLeft w:val="0"/>
              <w:marRight w:val="0"/>
              <w:marTop w:val="0"/>
              <w:marBottom w:val="0"/>
              <w:divBdr>
                <w:top w:val="none" w:sz="0" w:space="0" w:color="auto"/>
                <w:left w:val="none" w:sz="0" w:space="0" w:color="auto"/>
                <w:bottom w:val="none" w:sz="0" w:space="0" w:color="auto"/>
                <w:right w:val="none" w:sz="0" w:space="0" w:color="auto"/>
              </w:divBdr>
              <w:divsChild>
                <w:div w:id="101491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8219">
          <w:marLeft w:val="0"/>
          <w:marRight w:val="0"/>
          <w:marTop w:val="0"/>
          <w:marBottom w:val="0"/>
          <w:divBdr>
            <w:top w:val="none" w:sz="0" w:space="0" w:color="auto"/>
            <w:left w:val="none" w:sz="0" w:space="0" w:color="auto"/>
            <w:bottom w:val="none" w:sz="0" w:space="0" w:color="auto"/>
            <w:right w:val="none" w:sz="0" w:space="0" w:color="auto"/>
          </w:divBdr>
          <w:divsChild>
            <w:div w:id="1031880633">
              <w:marLeft w:val="0"/>
              <w:marRight w:val="0"/>
              <w:marTop w:val="0"/>
              <w:marBottom w:val="0"/>
              <w:divBdr>
                <w:top w:val="none" w:sz="0" w:space="0" w:color="auto"/>
                <w:left w:val="none" w:sz="0" w:space="0" w:color="auto"/>
                <w:bottom w:val="none" w:sz="0" w:space="0" w:color="auto"/>
                <w:right w:val="none" w:sz="0" w:space="0" w:color="auto"/>
              </w:divBdr>
              <w:divsChild>
                <w:div w:id="27224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69992">
          <w:marLeft w:val="0"/>
          <w:marRight w:val="0"/>
          <w:marTop w:val="0"/>
          <w:marBottom w:val="0"/>
          <w:divBdr>
            <w:top w:val="none" w:sz="0" w:space="0" w:color="auto"/>
            <w:left w:val="none" w:sz="0" w:space="0" w:color="auto"/>
            <w:bottom w:val="none" w:sz="0" w:space="0" w:color="auto"/>
            <w:right w:val="none" w:sz="0" w:space="0" w:color="auto"/>
          </w:divBdr>
          <w:divsChild>
            <w:div w:id="811826044">
              <w:marLeft w:val="0"/>
              <w:marRight w:val="0"/>
              <w:marTop w:val="0"/>
              <w:marBottom w:val="0"/>
              <w:divBdr>
                <w:top w:val="none" w:sz="0" w:space="0" w:color="auto"/>
                <w:left w:val="none" w:sz="0" w:space="0" w:color="auto"/>
                <w:bottom w:val="none" w:sz="0" w:space="0" w:color="auto"/>
                <w:right w:val="none" w:sz="0" w:space="0" w:color="auto"/>
              </w:divBdr>
              <w:divsChild>
                <w:div w:id="200994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758721">
          <w:marLeft w:val="0"/>
          <w:marRight w:val="0"/>
          <w:marTop w:val="0"/>
          <w:marBottom w:val="0"/>
          <w:divBdr>
            <w:top w:val="none" w:sz="0" w:space="0" w:color="auto"/>
            <w:left w:val="none" w:sz="0" w:space="0" w:color="auto"/>
            <w:bottom w:val="none" w:sz="0" w:space="0" w:color="auto"/>
            <w:right w:val="none" w:sz="0" w:space="0" w:color="auto"/>
          </w:divBdr>
          <w:divsChild>
            <w:div w:id="909458638">
              <w:marLeft w:val="0"/>
              <w:marRight w:val="0"/>
              <w:marTop w:val="0"/>
              <w:marBottom w:val="0"/>
              <w:divBdr>
                <w:top w:val="none" w:sz="0" w:space="0" w:color="auto"/>
                <w:left w:val="none" w:sz="0" w:space="0" w:color="auto"/>
                <w:bottom w:val="none" w:sz="0" w:space="0" w:color="auto"/>
                <w:right w:val="none" w:sz="0" w:space="0" w:color="auto"/>
              </w:divBdr>
              <w:divsChild>
                <w:div w:id="1685205115">
                  <w:marLeft w:val="0"/>
                  <w:marRight w:val="0"/>
                  <w:marTop w:val="0"/>
                  <w:marBottom w:val="0"/>
                  <w:divBdr>
                    <w:top w:val="none" w:sz="0" w:space="0" w:color="auto"/>
                    <w:left w:val="none" w:sz="0" w:space="0" w:color="auto"/>
                    <w:bottom w:val="none" w:sz="0" w:space="0" w:color="auto"/>
                    <w:right w:val="none" w:sz="0" w:space="0" w:color="auto"/>
                  </w:divBdr>
                  <w:divsChild>
                    <w:div w:id="1790588934">
                      <w:marLeft w:val="0"/>
                      <w:marRight w:val="0"/>
                      <w:marTop w:val="0"/>
                      <w:marBottom w:val="0"/>
                      <w:divBdr>
                        <w:top w:val="none" w:sz="0" w:space="0" w:color="auto"/>
                        <w:left w:val="none" w:sz="0" w:space="0" w:color="auto"/>
                        <w:bottom w:val="none" w:sz="0" w:space="0" w:color="auto"/>
                        <w:right w:val="none" w:sz="0" w:space="0" w:color="auto"/>
                      </w:divBdr>
                      <w:divsChild>
                        <w:div w:id="9489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060425">
                  <w:marLeft w:val="0"/>
                  <w:marRight w:val="0"/>
                  <w:marTop w:val="0"/>
                  <w:marBottom w:val="0"/>
                  <w:divBdr>
                    <w:top w:val="none" w:sz="0" w:space="0" w:color="auto"/>
                    <w:left w:val="none" w:sz="0" w:space="0" w:color="auto"/>
                    <w:bottom w:val="none" w:sz="0" w:space="0" w:color="auto"/>
                    <w:right w:val="none" w:sz="0" w:space="0" w:color="auto"/>
                  </w:divBdr>
                  <w:divsChild>
                    <w:div w:id="1271623853">
                      <w:marLeft w:val="0"/>
                      <w:marRight w:val="0"/>
                      <w:marTop w:val="0"/>
                      <w:marBottom w:val="0"/>
                      <w:divBdr>
                        <w:top w:val="none" w:sz="0" w:space="0" w:color="auto"/>
                        <w:left w:val="none" w:sz="0" w:space="0" w:color="auto"/>
                        <w:bottom w:val="none" w:sz="0" w:space="0" w:color="auto"/>
                        <w:right w:val="none" w:sz="0" w:space="0" w:color="auto"/>
                      </w:divBdr>
                      <w:divsChild>
                        <w:div w:id="749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82099">
          <w:marLeft w:val="0"/>
          <w:marRight w:val="0"/>
          <w:marTop w:val="0"/>
          <w:marBottom w:val="0"/>
          <w:divBdr>
            <w:top w:val="none" w:sz="0" w:space="0" w:color="auto"/>
            <w:left w:val="none" w:sz="0" w:space="0" w:color="auto"/>
            <w:bottom w:val="none" w:sz="0" w:space="0" w:color="auto"/>
            <w:right w:val="none" w:sz="0" w:space="0" w:color="auto"/>
          </w:divBdr>
          <w:divsChild>
            <w:div w:id="171339558">
              <w:marLeft w:val="0"/>
              <w:marRight w:val="0"/>
              <w:marTop w:val="0"/>
              <w:marBottom w:val="0"/>
              <w:divBdr>
                <w:top w:val="none" w:sz="0" w:space="0" w:color="auto"/>
                <w:left w:val="none" w:sz="0" w:space="0" w:color="auto"/>
                <w:bottom w:val="none" w:sz="0" w:space="0" w:color="auto"/>
                <w:right w:val="none" w:sz="0" w:space="0" w:color="auto"/>
              </w:divBdr>
              <w:divsChild>
                <w:div w:id="215510024">
                  <w:marLeft w:val="0"/>
                  <w:marRight w:val="0"/>
                  <w:marTop w:val="0"/>
                  <w:marBottom w:val="0"/>
                  <w:divBdr>
                    <w:top w:val="none" w:sz="0" w:space="0" w:color="auto"/>
                    <w:left w:val="none" w:sz="0" w:space="0" w:color="auto"/>
                    <w:bottom w:val="none" w:sz="0" w:space="0" w:color="auto"/>
                    <w:right w:val="none" w:sz="0" w:space="0" w:color="auto"/>
                  </w:divBdr>
                </w:div>
              </w:divsChild>
            </w:div>
            <w:div w:id="1593396973">
              <w:marLeft w:val="0"/>
              <w:marRight w:val="0"/>
              <w:marTop w:val="0"/>
              <w:marBottom w:val="0"/>
              <w:divBdr>
                <w:top w:val="none" w:sz="0" w:space="0" w:color="auto"/>
                <w:left w:val="none" w:sz="0" w:space="0" w:color="auto"/>
                <w:bottom w:val="none" w:sz="0" w:space="0" w:color="auto"/>
                <w:right w:val="none" w:sz="0" w:space="0" w:color="auto"/>
              </w:divBdr>
              <w:divsChild>
                <w:div w:id="10861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33157">
          <w:marLeft w:val="0"/>
          <w:marRight w:val="0"/>
          <w:marTop w:val="0"/>
          <w:marBottom w:val="0"/>
          <w:divBdr>
            <w:top w:val="none" w:sz="0" w:space="0" w:color="auto"/>
            <w:left w:val="none" w:sz="0" w:space="0" w:color="auto"/>
            <w:bottom w:val="none" w:sz="0" w:space="0" w:color="auto"/>
            <w:right w:val="none" w:sz="0" w:space="0" w:color="auto"/>
          </w:divBdr>
          <w:divsChild>
            <w:div w:id="1199588955">
              <w:marLeft w:val="0"/>
              <w:marRight w:val="0"/>
              <w:marTop w:val="0"/>
              <w:marBottom w:val="0"/>
              <w:divBdr>
                <w:top w:val="none" w:sz="0" w:space="0" w:color="auto"/>
                <w:left w:val="none" w:sz="0" w:space="0" w:color="auto"/>
                <w:bottom w:val="none" w:sz="0" w:space="0" w:color="auto"/>
                <w:right w:val="none" w:sz="0" w:space="0" w:color="auto"/>
              </w:divBdr>
              <w:divsChild>
                <w:div w:id="1503009118">
                  <w:marLeft w:val="0"/>
                  <w:marRight w:val="0"/>
                  <w:marTop w:val="0"/>
                  <w:marBottom w:val="0"/>
                  <w:divBdr>
                    <w:top w:val="none" w:sz="0" w:space="0" w:color="auto"/>
                    <w:left w:val="none" w:sz="0" w:space="0" w:color="auto"/>
                    <w:bottom w:val="none" w:sz="0" w:space="0" w:color="auto"/>
                    <w:right w:val="none" w:sz="0" w:space="0" w:color="auto"/>
                  </w:divBdr>
                </w:div>
              </w:divsChild>
            </w:div>
            <w:div w:id="2141070307">
              <w:marLeft w:val="0"/>
              <w:marRight w:val="0"/>
              <w:marTop w:val="0"/>
              <w:marBottom w:val="0"/>
              <w:divBdr>
                <w:top w:val="none" w:sz="0" w:space="0" w:color="auto"/>
                <w:left w:val="none" w:sz="0" w:space="0" w:color="auto"/>
                <w:bottom w:val="none" w:sz="0" w:space="0" w:color="auto"/>
                <w:right w:val="none" w:sz="0" w:space="0" w:color="auto"/>
              </w:divBdr>
              <w:divsChild>
                <w:div w:id="105574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13</Pages>
  <Words>3805</Words>
  <Characters>21694</Characters>
  <Application>Microsoft Office Word</Application>
  <DocSecurity>0</DocSecurity>
  <Lines>180</Lines>
  <Paragraphs>50</Paragraphs>
  <ScaleCrop>false</ScaleCrop>
  <Company/>
  <LinksUpToDate>false</LinksUpToDate>
  <CharactersWithSpaces>25449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Quinones</dc:creator>
  <cp:keywords/>
  <dc:description/>
  <cp:lastModifiedBy>Alyssa Quinones</cp:lastModifiedBy>
  <cp:revision>1</cp:revision>
  <dcterms:created xsi:type="dcterms:W3CDTF">2022-01-01T04:46:00Z</dcterms:created>
  <dcterms:modified xsi:type="dcterms:W3CDTF">2022-01-01T04:57:00Z</dcterms:modified>
</cp:coreProperties>
</file>